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79" w:rsidRDefault="00A76A79" w:rsidP="00A76A79">
      <w:pPr>
        <w:spacing w:line="480" w:lineRule="auto"/>
        <w:rPr>
          <w:rFonts w:ascii="Times New Roman" w:eastAsia="Times New Roman" w:hAnsi="Times New Roman"/>
          <w:b/>
          <w:sz w:val="28"/>
          <w:szCs w:val="28"/>
          <w:lang w:val="en-GB"/>
        </w:rPr>
      </w:pPr>
      <w:r w:rsidRPr="009965D1">
        <w:rPr>
          <w:rFonts w:ascii="Times New Roman" w:eastAsia="Times New Roman" w:hAnsi="Times New Roman"/>
          <w:b/>
          <w:sz w:val="28"/>
          <w:szCs w:val="28"/>
          <w:lang w:val="en-GB"/>
        </w:rPr>
        <w:t>Pe</w:t>
      </w:r>
      <w:bookmarkStart w:id="0" w:name="_GoBack"/>
      <w:bookmarkEnd w:id="0"/>
      <w:r w:rsidRPr="009965D1">
        <w:rPr>
          <w:rFonts w:ascii="Times New Roman" w:eastAsia="Times New Roman" w:hAnsi="Times New Roman"/>
          <w:b/>
          <w:sz w:val="28"/>
          <w:szCs w:val="28"/>
          <w:lang w:val="en-GB"/>
        </w:rPr>
        <w:t xml:space="preserve">ople first. Rethinking educational policies in times of crisis using the capability approach </w:t>
      </w:r>
    </w:p>
    <w:p w:rsidR="009965D1" w:rsidRDefault="009965D1" w:rsidP="00A76A79">
      <w:pPr>
        <w:spacing w:line="480" w:lineRule="auto"/>
        <w:rPr>
          <w:rFonts w:ascii="Times New Roman" w:eastAsia="Times New Roman" w:hAnsi="Times New Roman"/>
          <w:b/>
          <w:sz w:val="24"/>
          <w:szCs w:val="24"/>
          <w:lang w:val="en-GB"/>
        </w:rPr>
      </w:pPr>
      <w:r w:rsidRPr="009965D1">
        <w:rPr>
          <w:rFonts w:ascii="Times New Roman" w:eastAsia="Times New Roman" w:hAnsi="Times New Roman"/>
          <w:b/>
          <w:sz w:val="24"/>
          <w:szCs w:val="24"/>
          <w:lang w:val="en-GB"/>
        </w:rPr>
        <w:t>Alejandra Boni and Begoña Arias</w:t>
      </w:r>
    </w:p>
    <w:p w:rsidR="009965D1" w:rsidRDefault="009965D1" w:rsidP="009965D1">
      <w:r>
        <w:t>Prefinal version of a paper which was published in 2013 in Scuola Democratica, 3, 797-816.</w:t>
      </w:r>
    </w:p>
    <w:p w:rsidR="009965D1" w:rsidRPr="009965D1" w:rsidRDefault="009965D1" w:rsidP="00A76A79">
      <w:pPr>
        <w:spacing w:line="480" w:lineRule="auto"/>
        <w:rPr>
          <w:rFonts w:ascii="Times New Roman" w:eastAsia="Times New Roman" w:hAnsi="Times New Roman"/>
          <w:b/>
          <w:sz w:val="24"/>
          <w:szCs w:val="24"/>
          <w:lang w:val="en-GB"/>
        </w:rPr>
      </w:pPr>
    </w:p>
    <w:p w:rsidR="00A76A79" w:rsidRPr="009965D1" w:rsidRDefault="00A76A79" w:rsidP="00A76A79">
      <w:pPr>
        <w:spacing w:line="480" w:lineRule="auto"/>
        <w:jc w:val="both"/>
        <w:rPr>
          <w:rFonts w:ascii="Times New Roman" w:hAnsi="Times New Roman"/>
          <w:b/>
          <w:sz w:val="24"/>
          <w:szCs w:val="24"/>
          <w:lang w:val="en-GB"/>
        </w:rPr>
      </w:pPr>
      <w:r w:rsidRPr="009965D1">
        <w:rPr>
          <w:rFonts w:ascii="Times New Roman" w:eastAsia="Times New Roman" w:hAnsi="Times New Roman"/>
          <w:b/>
          <w:sz w:val="24"/>
          <w:szCs w:val="24"/>
          <w:lang w:val="en-GB"/>
        </w:rPr>
        <w:t xml:space="preserve">Introduction </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Within the Spanish public education sector there is a deep concern and unease that is resulting in a number of acts of protest: demonstrations, sit-ins in educational establishments, rallies, strikes, etc. - which have been more or less regular for several months.</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 xml:space="preserve">The reasons for this widespread unease and anxiety have their roots, firstly, in the successive budget cuts in education that have been occurring since 2010 and, secondly, in the political and legislative measures that are being taken, such as the changes to the </w:t>
      </w:r>
      <w:r w:rsidRPr="004C49AF">
        <w:rPr>
          <w:rFonts w:ascii="Times New Roman" w:hAnsi="Times New Roman"/>
          <w:i/>
          <w:sz w:val="24"/>
          <w:szCs w:val="24"/>
          <w:lang w:val="en-GB"/>
        </w:rPr>
        <w:t>Ley Orgánica de la Mejora de la Calidad Educativa</w:t>
      </w:r>
      <w:r w:rsidRPr="004C49AF">
        <w:rPr>
          <w:rFonts w:ascii="Times New Roman" w:hAnsi="Times New Roman"/>
          <w:sz w:val="24"/>
          <w:szCs w:val="24"/>
          <w:lang w:val="en-GB"/>
        </w:rPr>
        <w:t xml:space="preserve"> (Organic Law for the Improvement of Educational Quality</w:t>
      </w:r>
      <w:r w:rsidR="00663019" w:rsidRPr="004C49AF">
        <w:rPr>
          <w:rFonts w:ascii="Times New Roman" w:hAnsi="Times New Roman"/>
          <w:sz w:val="24"/>
          <w:szCs w:val="24"/>
          <w:lang w:val="en-GB"/>
        </w:rPr>
        <w:t>, hereafter LOMCE</w:t>
      </w:r>
      <w:r w:rsidRPr="004C49AF">
        <w:rPr>
          <w:rFonts w:ascii="Times New Roman" w:hAnsi="Times New Roman"/>
          <w:sz w:val="24"/>
          <w:szCs w:val="24"/>
          <w:lang w:val="en-GB"/>
        </w:rPr>
        <w:t>).</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In this paper we wish to analyse the changes that are occurring and the consequences of each one of them using the capabilities approach to human development</w:t>
      </w:r>
      <w:r w:rsidR="00663019" w:rsidRPr="004C49AF">
        <w:rPr>
          <w:rFonts w:ascii="Times New Roman" w:hAnsi="Times New Roman"/>
          <w:sz w:val="24"/>
          <w:szCs w:val="24"/>
          <w:lang w:val="en-GB"/>
        </w:rPr>
        <w:t xml:space="preserve"> (hereafter CA)</w:t>
      </w:r>
      <w:r w:rsidRPr="004C49AF">
        <w:rPr>
          <w:rFonts w:ascii="Times New Roman" w:hAnsi="Times New Roman"/>
          <w:sz w:val="24"/>
          <w:szCs w:val="24"/>
          <w:lang w:val="en-GB"/>
        </w:rPr>
        <w:t>. This approach allows us to put people at the centre and evince, in a critical way, the unfair consequences of the educational policies that are being adopted, and possible alternatives to them founded on a different model of development.</w:t>
      </w:r>
      <w:r w:rsidR="008F6B97" w:rsidRPr="004C49AF">
        <w:rPr>
          <w:rFonts w:ascii="Times New Roman" w:hAnsi="Times New Roman"/>
          <w:sz w:val="24"/>
          <w:szCs w:val="24"/>
          <w:lang w:val="en-GB"/>
        </w:rPr>
        <w:t xml:space="preserve"> </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 xml:space="preserve">The paper is organised in the following way: in the next section we will introduce the most relevant contributions the </w:t>
      </w:r>
      <w:r w:rsidR="00663019" w:rsidRPr="004C49AF">
        <w:rPr>
          <w:rFonts w:ascii="Times New Roman" w:hAnsi="Times New Roman"/>
          <w:sz w:val="24"/>
          <w:szCs w:val="24"/>
          <w:lang w:val="en-GB"/>
        </w:rPr>
        <w:t>CA</w:t>
      </w:r>
      <w:r w:rsidRPr="004C49AF">
        <w:rPr>
          <w:rFonts w:ascii="Times New Roman" w:hAnsi="Times New Roman"/>
          <w:sz w:val="24"/>
          <w:szCs w:val="24"/>
          <w:lang w:val="en-GB"/>
        </w:rPr>
        <w:t xml:space="preserve"> make</w:t>
      </w:r>
      <w:r w:rsidR="00663019" w:rsidRPr="004C49AF">
        <w:rPr>
          <w:rFonts w:ascii="Times New Roman" w:hAnsi="Times New Roman"/>
          <w:sz w:val="24"/>
          <w:szCs w:val="24"/>
          <w:lang w:val="en-GB"/>
        </w:rPr>
        <w:t>s</w:t>
      </w:r>
      <w:r w:rsidRPr="004C49AF">
        <w:rPr>
          <w:rFonts w:ascii="Times New Roman" w:hAnsi="Times New Roman"/>
          <w:sz w:val="24"/>
          <w:szCs w:val="24"/>
          <w:lang w:val="en-GB"/>
        </w:rPr>
        <w:t xml:space="preserve"> on education followed, in the second section, by a discussion of the main elements that make up the idea of ​​citizenship of CA. We wanted to </w:t>
      </w:r>
      <w:r w:rsidRPr="004C49AF">
        <w:rPr>
          <w:rFonts w:ascii="Times New Roman" w:hAnsi="Times New Roman"/>
          <w:sz w:val="24"/>
          <w:szCs w:val="24"/>
          <w:lang w:val="en-GB"/>
        </w:rPr>
        <w:lastRenderedPageBreak/>
        <w:t>include this element because it is particularly relevant to the analysis of the current Spanish educational context where, amongst other measures, the subject of Education for Citizenship has been removed form the curriculum following the LOMCE reform. In the third section we describe the measures taken by the Spanish Government since 2010 under budget cuts due to the economic crisis. We will also see the social response to such measures and the arguments being presented. The fourth section encompasses an analysis of the measures from the perspective of CA and the fifth ends with the most important conclusions and recommendations for educational policies in times of crisis.</w:t>
      </w:r>
    </w:p>
    <w:p w:rsidR="00A76A79" w:rsidRPr="009965D1" w:rsidRDefault="00A76A79" w:rsidP="00A76A79">
      <w:pPr>
        <w:numPr>
          <w:ilvl w:val="0"/>
          <w:numId w:val="6"/>
        </w:numPr>
        <w:spacing w:line="480" w:lineRule="auto"/>
        <w:rPr>
          <w:rFonts w:ascii="Times New Roman" w:eastAsia="Times New Roman" w:hAnsi="Times New Roman"/>
          <w:b/>
          <w:sz w:val="24"/>
          <w:szCs w:val="24"/>
          <w:lang w:val="en-GB"/>
        </w:rPr>
      </w:pPr>
      <w:r w:rsidRPr="009965D1">
        <w:rPr>
          <w:rFonts w:ascii="Times New Roman" w:eastAsia="Times New Roman" w:hAnsi="Times New Roman"/>
          <w:b/>
          <w:sz w:val="24"/>
          <w:szCs w:val="24"/>
          <w:lang w:val="en-GB"/>
        </w:rPr>
        <w:t>Capability approach and education</w:t>
      </w:r>
    </w:p>
    <w:p w:rsidR="00A76A79" w:rsidRPr="004C49AF" w:rsidRDefault="00A76A79" w:rsidP="00A76A79">
      <w:pPr>
        <w:pStyle w:val="Textodebloque"/>
        <w:widowControl/>
        <w:spacing w:line="480" w:lineRule="auto"/>
        <w:ind w:left="0" w:right="0"/>
        <w:jc w:val="both"/>
        <w:rPr>
          <w:rFonts w:ascii="Times New Roman" w:hAnsi="Times New Roman"/>
          <w:sz w:val="24"/>
          <w:szCs w:val="24"/>
        </w:rPr>
      </w:pPr>
      <w:r w:rsidRPr="004C49AF">
        <w:rPr>
          <w:rFonts w:ascii="Times New Roman" w:hAnsi="Times New Roman"/>
          <w:sz w:val="24"/>
          <w:szCs w:val="24"/>
        </w:rPr>
        <w:t>As Sen states, capabilities are the real possibilities and opportunities of leading a life which a person has reason to value and refer to different combinations of functions which can be achieved, where functions are ‘the different things that a person can value doing or being’ (Sen 1999a: 3). These beings and doings together constitute what makes a person’s life valuable. The distinction between achieved functionings and capabilities is between the realised and the effectively possible, in other words, between achievements on the one hand, and freedoms or valuable options from which one can choose on the other (Robeyns, 2005). Thus, for a society to develop, the main sources of freedom deprivations must be reduced and eliminated.</w:t>
      </w:r>
    </w:p>
    <w:p w:rsidR="00A76A79" w:rsidRPr="004C49AF" w:rsidRDefault="00A76A79" w:rsidP="00A76A79">
      <w:pPr>
        <w:pStyle w:val="Textodebloque"/>
        <w:widowControl/>
        <w:spacing w:line="480" w:lineRule="auto"/>
        <w:ind w:left="0" w:right="0"/>
        <w:jc w:val="both"/>
        <w:rPr>
          <w:rFonts w:ascii="Times New Roman" w:hAnsi="Times New Roman"/>
          <w:sz w:val="24"/>
          <w:szCs w:val="24"/>
        </w:rPr>
      </w:pPr>
      <w:r w:rsidRPr="004C49AF">
        <w:rPr>
          <w:rFonts w:ascii="Times New Roman" w:hAnsi="Times New Roman"/>
          <w:sz w:val="24"/>
          <w:szCs w:val="24"/>
        </w:rPr>
        <w:t>Mc Cowan and Unterhalter (2013: 143) suggest two main ways in which capabilities have a bearing on education: 1) relating to the distributional aspect of education and 2) its substantive values and content.</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eastAsia="Times New Roman" w:hAnsi="Times New Roman"/>
          <w:sz w:val="24"/>
          <w:szCs w:val="24"/>
          <w:lang w:val="en-GB"/>
        </w:rPr>
        <w:t xml:space="preserve">With regard to </w:t>
      </w:r>
      <w:r w:rsidRPr="004C49AF">
        <w:rPr>
          <w:rFonts w:ascii="Times New Roman" w:eastAsia="Times New Roman" w:hAnsi="Times New Roman"/>
          <w:i/>
          <w:sz w:val="24"/>
          <w:szCs w:val="24"/>
          <w:lang w:val="en-GB"/>
        </w:rPr>
        <w:t>equality</w:t>
      </w:r>
      <w:r w:rsidRPr="004C49AF">
        <w:rPr>
          <w:rFonts w:ascii="Times New Roman" w:eastAsia="Times New Roman" w:hAnsi="Times New Roman"/>
          <w:sz w:val="24"/>
          <w:szCs w:val="24"/>
          <w:lang w:val="en-GB"/>
        </w:rPr>
        <w:t xml:space="preserve">, they argue that the general position on equality taken by the capability approach can be applied to educational settings.  “Just as the approach rejects an emphasis on equality of initial resources or of preference satisfaction, so it rejects in </w:t>
      </w:r>
      <w:r w:rsidRPr="004C49AF">
        <w:rPr>
          <w:rFonts w:ascii="Times New Roman" w:eastAsia="Times New Roman" w:hAnsi="Times New Roman"/>
          <w:sz w:val="24"/>
          <w:szCs w:val="24"/>
          <w:lang w:val="en-GB"/>
        </w:rPr>
        <w:lastRenderedPageBreak/>
        <w:t xml:space="preserve">education an approach of equal treatment or equal attainment regardless of individual or group differences” (Mc Cowan and Unterhalter, 2013: 143). This has to do with the concept of conversion factors, which are personal, social and environmental characteristics that intersect thorough different dimensions. Learners could differ along (a) a personal axis (e.g. gender, age, class, etc); (b) along an intersecting external of environmental axis (wealth, climate, etc.) and (c) along an inter-individual or social axis (Walker, 2006). </w:t>
      </w:r>
      <w:r w:rsidRPr="004C49AF">
        <w:rPr>
          <w:rFonts w:ascii="Times New Roman" w:hAnsi="Times New Roman"/>
          <w:sz w:val="24"/>
          <w:szCs w:val="24"/>
          <w:lang w:val="en-GB"/>
        </w:rPr>
        <w:t xml:space="preserve">Additionally, pupils with the same outcome may have had very different opportunities, so cannot be judged in the same manner (Unterhalter et al, 2007). </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 xml:space="preserve">Consequently, as Unterhalter points out, thinking in terms of capabilities raises a wider range of issues than simply looking at the amount of resources or commodities people have. Because of interpersonal diversity, people need a different amount of resources in order to transform them into the functioning ‘being educated’ (Unterhalter, 2009: 166). </w:t>
      </w:r>
    </w:p>
    <w:p w:rsidR="00A76A79" w:rsidRPr="004C49AF" w:rsidRDefault="00A76A79" w:rsidP="00A76A79">
      <w:pPr>
        <w:spacing w:after="0" w:line="480" w:lineRule="auto"/>
        <w:jc w:val="both"/>
        <w:rPr>
          <w:rFonts w:ascii="Times New Roman" w:hAnsi="Times New Roman"/>
          <w:sz w:val="24"/>
          <w:szCs w:val="24"/>
          <w:lang w:val="en-GB"/>
        </w:rPr>
      </w:pPr>
      <w:r w:rsidRPr="004C49AF">
        <w:rPr>
          <w:rFonts w:ascii="Times New Roman" w:hAnsi="Times New Roman"/>
          <w:sz w:val="24"/>
          <w:szCs w:val="24"/>
          <w:lang w:val="en-GB"/>
        </w:rPr>
        <w:t xml:space="preserve">The second contribution of CA, </w:t>
      </w:r>
      <w:r w:rsidRPr="004C49AF">
        <w:rPr>
          <w:rFonts w:ascii="Times New Roman" w:hAnsi="Times New Roman"/>
          <w:i/>
          <w:sz w:val="24"/>
          <w:szCs w:val="24"/>
          <w:lang w:val="en-GB"/>
        </w:rPr>
        <w:t>substantive values and content</w:t>
      </w:r>
      <w:r w:rsidRPr="004C49AF">
        <w:rPr>
          <w:rFonts w:ascii="Times New Roman" w:hAnsi="Times New Roman"/>
          <w:sz w:val="24"/>
          <w:szCs w:val="24"/>
          <w:lang w:val="en-GB"/>
        </w:rPr>
        <w:t xml:space="preserve">, refers, firstly, to the </w:t>
      </w:r>
      <w:r w:rsidRPr="004C49AF">
        <w:rPr>
          <w:rFonts w:ascii="Times New Roman" w:hAnsi="Times New Roman"/>
          <w:i/>
          <w:sz w:val="24"/>
          <w:szCs w:val="24"/>
          <w:lang w:val="en-GB"/>
        </w:rPr>
        <w:t>“capability multiplier”</w:t>
      </w:r>
      <w:r w:rsidRPr="004C49AF">
        <w:rPr>
          <w:rFonts w:ascii="Times New Roman" w:hAnsi="Times New Roman"/>
          <w:sz w:val="24"/>
          <w:szCs w:val="24"/>
          <w:lang w:val="en-GB"/>
        </w:rPr>
        <w:t xml:space="preserve"> role of education. Education can develop abilities that relate to specific areas can open up a wider set of opportunities, in terms of employment, leisure and so forth (Saito 2003: 27). Some of the opportunities enabled by education are derived from the certification provided by formal education, and some from learning itself, which can be gained from a wide variety of educational experiences (Mc Cowan and Unterhalter, 2013: 146). </w:t>
      </w:r>
    </w:p>
    <w:p w:rsidR="00A76A79" w:rsidRPr="004C49AF" w:rsidRDefault="00A76A79" w:rsidP="00A76A79">
      <w:pPr>
        <w:autoSpaceDE w:val="0"/>
        <w:autoSpaceDN w:val="0"/>
        <w:adjustRightInd w:val="0"/>
        <w:spacing w:after="0" w:line="480" w:lineRule="auto"/>
        <w:jc w:val="both"/>
        <w:rPr>
          <w:rFonts w:ascii="Times New Roman" w:hAnsi="Times New Roman"/>
          <w:sz w:val="24"/>
          <w:szCs w:val="24"/>
          <w:lang w:val="en-GB"/>
        </w:rPr>
      </w:pPr>
      <w:r w:rsidRPr="004C49AF">
        <w:rPr>
          <w:rFonts w:ascii="Times New Roman" w:hAnsi="Times New Roman"/>
          <w:sz w:val="24"/>
          <w:szCs w:val="24"/>
          <w:lang w:val="en-GB"/>
        </w:rPr>
        <w:t xml:space="preserve">Secondly, capabilities can have implications for </w:t>
      </w:r>
      <w:r w:rsidRPr="004C49AF">
        <w:rPr>
          <w:rFonts w:ascii="Times New Roman" w:hAnsi="Times New Roman"/>
          <w:i/>
          <w:sz w:val="24"/>
          <w:szCs w:val="24"/>
          <w:lang w:val="en-GB"/>
        </w:rPr>
        <w:t>curriculum and pedagogies</w:t>
      </w:r>
      <w:r w:rsidRPr="004C49AF">
        <w:rPr>
          <w:rFonts w:ascii="Times New Roman" w:hAnsi="Times New Roman"/>
          <w:sz w:val="24"/>
          <w:szCs w:val="24"/>
          <w:lang w:val="en-GB"/>
        </w:rPr>
        <w:t>. In this aspect, capabilities approach in education has strong links with other progressive educational ideas of Rousseau, Dewey and Freire (Flores Crespo, 2007)</w:t>
      </w:r>
      <w:r w:rsidR="0072200B" w:rsidRPr="004C49AF">
        <w:rPr>
          <w:rFonts w:ascii="Times New Roman" w:hAnsi="Times New Roman"/>
          <w:sz w:val="24"/>
          <w:szCs w:val="24"/>
          <w:lang w:val="en-GB"/>
        </w:rPr>
        <w:t xml:space="preserve">. </w:t>
      </w:r>
      <w:r w:rsidRPr="004C49AF">
        <w:rPr>
          <w:rFonts w:ascii="Times New Roman" w:hAnsi="Times New Roman"/>
          <w:sz w:val="24"/>
          <w:szCs w:val="24"/>
          <w:lang w:val="en-GB"/>
        </w:rPr>
        <w:t xml:space="preserve">These approaches and </w:t>
      </w:r>
      <w:r w:rsidR="00F86452" w:rsidRPr="004C49AF">
        <w:rPr>
          <w:rFonts w:ascii="Times New Roman" w:hAnsi="Times New Roman"/>
          <w:sz w:val="24"/>
          <w:szCs w:val="24"/>
          <w:lang w:val="en-GB"/>
        </w:rPr>
        <w:t xml:space="preserve">CA </w:t>
      </w:r>
      <w:r w:rsidRPr="004C49AF">
        <w:rPr>
          <w:rFonts w:ascii="Times New Roman" w:hAnsi="Times New Roman"/>
          <w:sz w:val="24"/>
          <w:szCs w:val="24"/>
          <w:lang w:val="en-GB"/>
        </w:rPr>
        <w:t xml:space="preserve">have in common concerns with the voices of those who have to struggle to be heard and included. Also, they have concerns with human flourishing and how equality and social arrangements </w:t>
      </w:r>
      <w:r w:rsidRPr="004C49AF">
        <w:rPr>
          <w:rFonts w:ascii="Times New Roman" w:hAnsi="Times New Roman"/>
          <w:sz w:val="24"/>
          <w:szCs w:val="24"/>
          <w:lang w:val="en-GB"/>
        </w:rPr>
        <w:lastRenderedPageBreak/>
        <w:t>have to change. When we teach CA, we therefore need to keep in mind that our pedagogy ought to be consistent with the core principles of the approach itself. It ought to be both a critical and humanising pedagogy (Walker, 2009: 264).</w:t>
      </w:r>
    </w:p>
    <w:p w:rsidR="00BC3D34" w:rsidRPr="004C49AF" w:rsidRDefault="00A76A79" w:rsidP="00A76A79">
      <w:pPr>
        <w:autoSpaceDE w:val="0"/>
        <w:autoSpaceDN w:val="0"/>
        <w:adjustRightInd w:val="0"/>
        <w:spacing w:line="480" w:lineRule="auto"/>
        <w:jc w:val="both"/>
        <w:rPr>
          <w:rFonts w:ascii="Times New Roman" w:hAnsi="Times New Roman"/>
          <w:sz w:val="24"/>
          <w:szCs w:val="24"/>
          <w:lang w:val="en-GB"/>
        </w:rPr>
      </w:pPr>
      <w:r w:rsidRPr="004C49AF">
        <w:rPr>
          <w:rFonts w:ascii="Times New Roman" w:hAnsi="Times New Roman"/>
          <w:sz w:val="24"/>
          <w:szCs w:val="24"/>
          <w:lang w:val="en-GB"/>
        </w:rPr>
        <w:t xml:space="preserve">The last contribution of CA to education has to do with </w:t>
      </w:r>
      <w:r w:rsidRPr="004C49AF">
        <w:rPr>
          <w:rFonts w:ascii="Times New Roman" w:hAnsi="Times New Roman"/>
          <w:i/>
          <w:sz w:val="24"/>
          <w:szCs w:val="24"/>
          <w:lang w:val="en-GB"/>
        </w:rPr>
        <w:t>values.</w:t>
      </w:r>
      <w:r w:rsidRPr="004C49AF">
        <w:rPr>
          <w:rFonts w:ascii="Times New Roman" w:hAnsi="Times New Roman"/>
          <w:sz w:val="24"/>
          <w:szCs w:val="24"/>
          <w:lang w:val="en-GB"/>
        </w:rPr>
        <w:t xml:space="preserve"> It is not just that education should promote particular political and moral values, but that it is inescapably charged with those values (Mc Cowan and Unterhalter, 2013: 148). Which values are at the core of CA? We argue that, as CA is related with human development thinking, the core values of this idea of development are at the core of CA. The UNDP’s standard definition of the central dimensions of human development includes: empowerment, meaning the expansion of capabilities (ability to attain valued ends), expansion of valued functionings (attained valued ends), and participation (sharing in specifying priorities); equity in distribution of basic capabilities, and, security and sustainability of people’s valued attainments and </w:t>
      </w:r>
      <w:r w:rsidR="00EE5431" w:rsidRPr="004C49AF">
        <w:rPr>
          <w:rFonts w:ascii="Times New Roman" w:hAnsi="Times New Roman"/>
          <w:sz w:val="24"/>
          <w:szCs w:val="24"/>
          <w:lang w:val="en-GB"/>
        </w:rPr>
        <w:t>opportunities (</w:t>
      </w:r>
      <w:r w:rsidRPr="004C49AF">
        <w:rPr>
          <w:rFonts w:ascii="Times New Roman" w:hAnsi="Times New Roman"/>
          <w:sz w:val="24"/>
          <w:szCs w:val="24"/>
          <w:lang w:val="en-GB"/>
        </w:rPr>
        <w:t xml:space="preserve">Boni and Gasper, 2012). </w:t>
      </w:r>
    </w:p>
    <w:p w:rsidR="00A76A79" w:rsidRPr="009965D1" w:rsidRDefault="00A76A79" w:rsidP="00A76A79">
      <w:pPr>
        <w:numPr>
          <w:ilvl w:val="0"/>
          <w:numId w:val="6"/>
        </w:numPr>
        <w:spacing w:after="0" w:line="240" w:lineRule="auto"/>
        <w:jc w:val="both"/>
        <w:rPr>
          <w:rFonts w:ascii="Times New Roman" w:hAnsi="Times New Roman"/>
          <w:b/>
          <w:sz w:val="24"/>
          <w:szCs w:val="24"/>
          <w:lang w:val="en-GB"/>
        </w:rPr>
      </w:pPr>
      <w:r w:rsidRPr="009965D1">
        <w:rPr>
          <w:rFonts w:ascii="Times New Roman" w:hAnsi="Times New Roman"/>
          <w:b/>
          <w:sz w:val="24"/>
          <w:szCs w:val="24"/>
          <w:lang w:val="en-GB"/>
        </w:rPr>
        <w:t>Capability and citizenship</w:t>
      </w:r>
    </w:p>
    <w:p w:rsidR="00A76A79" w:rsidRPr="004C49AF" w:rsidRDefault="00A76A79" w:rsidP="00A76A79">
      <w:pPr>
        <w:spacing w:after="0" w:line="480" w:lineRule="auto"/>
        <w:jc w:val="both"/>
        <w:rPr>
          <w:rFonts w:ascii="Times New Roman" w:hAnsi="Times New Roman"/>
          <w:sz w:val="24"/>
          <w:szCs w:val="24"/>
          <w:lang w:val="en-GB"/>
        </w:rPr>
      </w:pPr>
    </w:p>
    <w:p w:rsidR="00A76A79" w:rsidRPr="004C49AF" w:rsidRDefault="00A76A79" w:rsidP="00A76A79">
      <w:pPr>
        <w:spacing w:after="0" w:line="480" w:lineRule="auto"/>
        <w:jc w:val="both"/>
        <w:rPr>
          <w:rFonts w:ascii="Times New Roman" w:hAnsi="Times New Roman"/>
          <w:sz w:val="24"/>
          <w:szCs w:val="24"/>
          <w:lang w:val="en-GB"/>
        </w:rPr>
      </w:pPr>
      <w:r w:rsidRPr="004C49AF">
        <w:rPr>
          <w:rFonts w:ascii="Times New Roman" w:hAnsi="Times New Roman"/>
          <w:sz w:val="24"/>
          <w:szCs w:val="24"/>
          <w:lang w:val="en-GB"/>
        </w:rPr>
        <w:t xml:space="preserve">We would like to address three other important elements of CA that are extremely valuable to understanding the meaning and role of education for citizenship. According to McCowan and Unterhalter (2013: 138) the contribution of CA to citizenship relates primarily to three aspects: </w:t>
      </w:r>
      <w:r w:rsidRPr="004C49AF">
        <w:rPr>
          <w:rFonts w:ascii="Times New Roman" w:hAnsi="Times New Roman"/>
          <w:i/>
          <w:sz w:val="24"/>
          <w:szCs w:val="24"/>
          <w:lang w:val="en-GB"/>
        </w:rPr>
        <w:t>deliberation, the acknowledgement of heterogeneity, and the emphasis on agency</w:t>
      </w:r>
      <w:r w:rsidRPr="004C49AF">
        <w:rPr>
          <w:rFonts w:ascii="Times New Roman" w:hAnsi="Times New Roman"/>
          <w:sz w:val="24"/>
          <w:szCs w:val="24"/>
          <w:lang w:val="en-GB"/>
        </w:rPr>
        <w:t xml:space="preserve">. CA justifies the desirability of democracy as a form of government and mechanism for people to rule themselves due to three values: the intrinsic, the instrumental and the constructive value (Sen, 1999b). Firstly, democracy is a good in itself, and must be upheld even if there appear to be other more pressing needs (such as nutrition).  Secondly, democracy has instrumental value in terms of enabling populations to secure, for example, economic and social rights.  Lastly, democracy has a constructive function in the sense of </w:t>
      </w:r>
      <w:r w:rsidRPr="004C49AF">
        <w:rPr>
          <w:rFonts w:ascii="Times New Roman" w:hAnsi="Times New Roman"/>
          <w:sz w:val="24"/>
          <w:szCs w:val="24"/>
          <w:lang w:val="en-GB"/>
        </w:rPr>
        <w:lastRenderedPageBreak/>
        <w:t>allowing for the development of shared values in a society, such as tolerance or equity (McCowan and Unterhalter 2013: 138). Not that democracy is the only place where values are constructed; social values are similarly constructed by the advertising industry, the media, or religious organisations, for example. Nevertheless, democracy is the mechanism through which these different sets of values are debated in the public space so that a consensus can be built around a government’s policy priorities (Deneulin, 2009: 150). Further, it is around public delibera</w:t>
      </w:r>
      <w:r w:rsidR="00F86452" w:rsidRPr="004C49AF">
        <w:rPr>
          <w:rFonts w:ascii="Times New Roman" w:hAnsi="Times New Roman"/>
          <w:sz w:val="24"/>
          <w:szCs w:val="24"/>
          <w:lang w:val="en-GB"/>
        </w:rPr>
        <w:t>tion where learning takes place.</w:t>
      </w:r>
    </w:p>
    <w:p w:rsidR="00A76A79" w:rsidRPr="004C49AF" w:rsidRDefault="00A76A79" w:rsidP="00A76A79">
      <w:pPr>
        <w:pStyle w:val="Listavistosa-nfasis1"/>
        <w:spacing w:after="0" w:line="240" w:lineRule="auto"/>
        <w:ind w:left="0"/>
        <w:jc w:val="both"/>
        <w:rPr>
          <w:rFonts w:ascii="Times New Roman" w:hAnsi="Times New Roman" w:cs="Times New Roman"/>
          <w:sz w:val="24"/>
          <w:szCs w:val="24"/>
        </w:rPr>
      </w:pPr>
    </w:p>
    <w:p w:rsidR="00A76A79" w:rsidRPr="004C49AF" w:rsidRDefault="00A76A79" w:rsidP="00A76A79">
      <w:pPr>
        <w:spacing w:after="0" w:line="480" w:lineRule="auto"/>
        <w:jc w:val="both"/>
        <w:rPr>
          <w:rFonts w:ascii="Times New Roman" w:hAnsi="Times New Roman"/>
          <w:sz w:val="24"/>
          <w:szCs w:val="24"/>
          <w:lang w:val="en-GB"/>
        </w:rPr>
      </w:pPr>
      <w:r w:rsidRPr="004C49AF">
        <w:rPr>
          <w:rFonts w:ascii="Times New Roman" w:hAnsi="Times New Roman"/>
          <w:sz w:val="24"/>
          <w:szCs w:val="24"/>
          <w:lang w:val="en-GB"/>
        </w:rPr>
        <w:t xml:space="preserve">To have the space for public discussion, it is important to assure space for </w:t>
      </w:r>
      <w:r w:rsidRPr="004C49AF">
        <w:rPr>
          <w:rFonts w:ascii="Times New Roman" w:hAnsi="Times New Roman"/>
          <w:i/>
          <w:sz w:val="24"/>
          <w:szCs w:val="24"/>
          <w:lang w:val="en-GB"/>
        </w:rPr>
        <w:t>diversity.</w:t>
      </w:r>
      <w:r w:rsidRPr="004C49AF">
        <w:rPr>
          <w:rFonts w:ascii="Times New Roman" w:hAnsi="Times New Roman"/>
          <w:sz w:val="24"/>
          <w:szCs w:val="24"/>
          <w:lang w:val="en-GB"/>
        </w:rPr>
        <w:t xml:space="preserve"> Homogenising forms of citizenship are dangerous in that they can suppress forms of difference that may be valued by the individuals or groups in question, but also because they may ignore disparities in people's ability to exercise the formal rights granted to them </w:t>
      </w:r>
      <w:r w:rsidR="00F86452" w:rsidRPr="004C49AF">
        <w:rPr>
          <w:rFonts w:ascii="Times New Roman" w:hAnsi="Times New Roman"/>
          <w:sz w:val="24"/>
          <w:szCs w:val="24"/>
          <w:lang w:val="en-GB"/>
        </w:rPr>
        <w:t>(</w:t>
      </w:r>
      <w:r w:rsidRPr="004C49AF">
        <w:rPr>
          <w:rFonts w:ascii="Times New Roman" w:hAnsi="Times New Roman"/>
          <w:sz w:val="24"/>
          <w:szCs w:val="24"/>
          <w:lang w:val="en-GB"/>
        </w:rPr>
        <w:t>McCowan and Unte</w:t>
      </w:r>
      <w:r w:rsidR="00F86452" w:rsidRPr="004C49AF">
        <w:rPr>
          <w:rFonts w:ascii="Times New Roman" w:hAnsi="Times New Roman"/>
          <w:sz w:val="24"/>
          <w:szCs w:val="24"/>
          <w:lang w:val="en-GB"/>
        </w:rPr>
        <w:t xml:space="preserve">rhalter, </w:t>
      </w:r>
      <w:r w:rsidRPr="004C49AF">
        <w:rPr>
          <w:rFonts w:ascii="Times New Roman" w:hAnsi="Times New Roman"/>
          <w:sz w:val="24"/>
          <w:szCs w:val="24"/>
          <w:lang w:val="en-GB"/>
        </w:rPr>
        <w:t xml:space="preserve">2013: 139). </w:t>
      </w:r>
    </w:p>
    <w:p w:rsidR="00F86452" w:rsidRPr="004C49AF" w:rsidRDefault="00A76A79" w:rsidP="00A76A79">
      <w:pPr>
        <w:autoSpaceDE w:val="0"/>
        <w:autoSpaceDN w:val="0"/>
        <w:adjustRightInd w:val="0"/>
        <w:spacing w:line="480" w:lineRule="auto"/>
        <w:jc w:val="both"/>
        <w:rPr>
          <w:rFonts w:ascii="Times New Roman" w:hAnsi="Times New Roman"/>
          <w:sz w:val="24"/>
          <w:szCs w:val="24"/>
          <w:lang w:val="en-GB"/>
        </w:rPr>
      </w:pPr>
      <w:r w:rsidRPr="004C49AF">
        <w:rPr>
          <w:rFonts w:ascii="Times New Roman" w:hAnsi="Times New Roman"/>
          <w:sz w:val="24"/>
          <w:szCs w:val="24"/>
          <w:lang w:val="en-GB"/>
        </w:rPr>
        <w:t xml:space="preserve">Another central concept in CA is </w:t>
      </w:r>
      <w:r w:rsidRPr="004C49AF">
        <w:rPr>
          <w:rFonts w:ascii="Times New Roman" w:hAnsi="Times New Roman"/>
          <w:i/>
          <w:sz w:val="24"/>
          <w:szCs w:val="24"/>
          <w:lang w:val="en-GB"/>
        </w:rPr>
        <w:t>agency,</w:t>
      </w:r>
      <w:r w:rsidRPr="004C49AF">
        <w:rPr>
          <w:rFonts w:ascii="Times New Roman" w:hAnsi="Times New Roman"/>
          <w:sz w:val="24"/>
          <w:szCs w:val="24"/>
          <w:lang w:val="en-GB"/>
        </w:rPr>
        <w:t xml:space="preserve"> defined as the ability to act accor</w:t>
      </w:r>
      <w:r w:rsidRPr="004C49AF">
        <w:rPr>
          <w:rFonts w:ascii="Times New Roman" w:hAnsi="Times New Roman"/>
          <w:sz w:val="24"/>
          <w:szCs w:val="24"/>
          <w:lang w:val="en-GB"/>
        </w:rPr>
        <w:t>d</w:t>
      </w:r>
      <w:r w:rsidRPr="004C49AF">
        <w:rPr>
          <w:rFonts w:ascii="Times New Roman" w:hAnsi="Times New Roman"/>
          <w:sz w:val="24"/>
          <w:szCs w:val="24"/>
          <w:lang w:val="en-GB"/>
        </w:rPr>
        <w:t xml:space="preserve">ing to what one values or –in Sen’s words- ‘what a person is free to do and achieve in pursuit of whatever goals or values he or she regards as important’ </w:t>
      </w:r>
      <w:r w:rsidRPr="004C49AF">
        <w:rPr>
          <w:rFonts w:ascii="Times New Roman" w:hAnsi="Times New Roman"/>
          <w:sz w:val="24"/>
          <w:szCs w:val="24"/>
          <w:lang w:val="en-GB"/>
        </w:rPr>
        <w:fldChar w:fldCharType="begin"/>
      </w:r>
      <w:r w:rsidRPr="004C49AF">
        <w:rPr>
          <w:rFonts w:ascii="Times New Roman" w:hAnsi="Times New Roman"/>
          <w:sz w:val="24"/>
          <w:szCs w:val="24"/>
          <w:lang w:val="en-GB"/>
        </w:rPr>
        <w:instrText>ADDIN RW.CITE{{23 Sen,Amartya 1985/s203;}}</w:instrText>
      </w:r>
      <w:r w:rsidRPr="004C49AF">
        <w:rPr>
          <w:rFonts w:ascii="Times New Roman" w:hAnsi="Times New Roman"/>
          <w:sz w:val="24"/>
          <w:szCs w:val="24"/>
          <w:lang w:val="en-GB"/>
        </w:rPr>
        <w:fldChar w:fldCharType="separate"/>
      </w:r>
      <w:r w:rsidRPr="004C49AF">
        <w:rPr>
          <w:rFonts w:ascii="Times New Roman" w:hAnsi="Times New Roman"/>
          <w:sz w:val="24"/>
          <w:szCs w:val="24"/>
          <w:lang w:val="en-GB"/>
        </w:rPr>
        <w:t>(Sen 1985: 206)</w:t>
      </w:r>
      <w:r w:rsidRPr="004C49AF">
        <w:rPr>
          <w:rFonts w:ascii="Times New Roman" w:hAnsi="Times New Roman"/>
          <w:sz w:val="24"/>
          <w:szCs w:val="24"/>
          <w:lang w:val="en-GB"/>
        </w:rPr>
        <w:fldChar w:fldCharType="end"/>
      </w:r>
      <w:r w:rsidRPr="004C49AF">
        <w:rPr>
          <w:rFonts w:ascii="Times New Roman" w:hAnsi="Times New Roman"/>
          <w:sz w:val="24"/>
          <w:szCs w:val="24"/>
          <w:lang w:val="en-GB"/>
        </w:rPr>
        <w:t xml:space="preserve">. Consequently, ‘people who enjoy high levels of agency are engaged in actions that are congruent with their values’ (Alkire, 2007: 3) and this becomes an essential aspect in the effective realisation of capabilities. Two elements of agency are especially important to enhance capabilities and pursue human development goals: </w:t>
      </w:r>
      <w:r w:rsidRPr="004C49AF">
        <w:rPr>
          <w:rFonts w:ascii="Times New Roman" w:hAnsi="Times New Roman"/>
          <w:i/>
          <w:sz w:val="24"/>
          <w:szCs w:val="24"/>
          <w:lang w:val="en-GB"/>
        </w:rPr>
        <w:t xml:space="preserve">reflexivity and responsibility </w:t>
      </w:r>
      <w:r w:rsidRPr="004C49AF">
        <w:rPr>
          <w:rFonts w:ascii="Times New Roman" w:hAnsi="Times New Roman"/>
          <w:sz w:val="24"/>
          <w:szCs w:val="24"/>
          <w:lang w:val="en-GB"/>
        </w:rPr>
        <w:t>(Boni and Walker, 2013)</w:t>
      </w:r>
      <w:r w:rsidRPr="004C49AF">
        <w:rPr>
          <w:rFonts w:ascii="Times New Roman" w:hAnsi="Times New Roman"/>
          <w:i/>
          <w:sz w:val="24"/>
          <w:szCs w:val="24"/>
          <w:lang w:val="en-GB"/>
        </w:rPr>
        <w:t>.</w:t>
      </w:r>
      <w:r w:rsidRPr="004C49AF">
        <w:rPr>
          <w:rFonts w:ascii="Times New Roman" w:hAnsi="Times New Roman"/>
          <w:sz w:val="24"/>
          <w:szCs w:val="24"/>
          <w:lang w:val="en-GB"/>
        </w:rPr>
        <w:t xml:space="preserve"> On one side, critical reflexivity and Freire’s conscious awareness of being an agent become relevant in the framework of collective action. In this regard, deliberation and reflective dialogue become core elements for developing agency (Crocker, 2008: 11). There must be a certain reflection and conscious deliberation of the reasons and values upholding agency: ‘what is needed is not merely freedom and power to act, but also freedom and power to </w:t>
      </w:r>
      <w:r w:rsidRPr="004C49AF">
        <w:rPr>
          <w:rFonts w:ascii="Times New Roman" w:hAnsi="Times New Roman"/>
          <w:sz w:val="24"/>
          <w:szCs w:val="24"/>
          <w:lang w:val="en-GB"/>
        </w:rPr>
        <w:lastRenderedPageBreak/>
        <w:t xml:space="preserve">question and reassess the prevailing norms and values’ (Dreze and Sen, 2002: 258). The second element is the responsibility towards others. Ballet et al. (2007) propose to broaden Sen’s concept of agency by considering responsibility as a constitutive characteristic of the person at the same level as freedom. This has important consequences as it generates a distinction between </w:t>
      </w:r>
      <w:r w:rsidRPr="004C49AF">
        <w:rPr>
          <w:rFonts w:ascii="Times New Roman" w:hAnsi="Times New Roman"/>
          <w:i/>
          <w:sz w:val="24"/>
          <w:szCs w:val="24"/>
          <w:lang w:val="en-GB"/>
        </w:rPr>
        <w:t>weak and strong agency</w:t>
      </w:r>
      <w:r w:rsidRPr="004C49AF">
        <w:rPr>
          <w:rFonts w:ascii="Times New Roman" w:hAnsi="Times New Roman"/>
          <w:sz w:val="24"/>
          <w:szCs w:val="24"/>
          <w:lang w:val="en-GB"/>
        </w:rPr>
        <w:t xml:space="preserve">. While weak agency would refer solely to developing individual goals and capabilities, strong agency would include the exercise of responsibility towards others’ capabilities and society as a whole. </w:t>
      </w:r>
    </w:p>
    <w:p w:rsidR="00742F43" w:rsidRPr="009965D1" w:rsidRDefault="0072200B" w:rsidP="00843849">
      <w:pPr>
        <w:autoSpaceDE w:val="0"/>
        <w:autoSpaceDN w:val="0"/>
        <w:adjustRightInd w:val="0"/>
        <w:spacing w:line="480" w:lineRule="auto"/>
        <w:jc w:val="both"/>
        <w:rPr>
          <w:rFonts w:ascii="Times New Roman" w:hAnsi="Times New Roman"/>
          <w:sz w:val="24"/>
          <w:szCs w:val="24"/>
        </w:rPr>
      </w:pPr>
      <w:r w:rsidRPr="009965D1">
        <w:rPr>
          <w:rFonts w:ascii="Times New Roman" w:hAnsi="Times New Roman"/>
          <w:sz w:val="24"/>
          <w:szCs w:val="24"/>
        </w:rPr>
        <w:t xml:space="preserve">We would like to finish this section </w:t>
      </w:r>
      <w:r w:rsidR="00551BC9" w:rsidRPr="009965D1">
        <w:rPr>
          <w:rFonts w:ascii="Times New Roman" w:hAnsi="Times New Roman"/>
          <w:sz w:val="24"/>
          <w:szCs w:val="24"/>
        </w:rPr>
        <w:t xml:space="preserve">with a brief comment on </w:t>
      </w:r>
      <w:r w:rsidRPr="009965D1">
        <w:rPr>
          <w:rFonts w:ascii="Times New Roman" w:hAnsi="Times New Roman"/>
          <w:sz w:val="24"/>
          <w:szCs w:val="24"/>
        </w:rPr>
        <w:t xml:space="preserve">the similarities </w:t>
      </w:r>
      <w:r w:rsidR="00551BC9" w:rsidRPr="009965D1">
        <w:rPr>
          <w:rFonts w:ascii="Times New Roman" w:hAnsi="Times New Roman"/>
          <w:sz w:val="24"/>
          <w:szCs w:val="24"/>
        </w:rPr>
        <w:t xml:space="preserve">and concerns </w:t>
      </w:r>
      <w:r w:rsidRPr="009965D1">
        <w:rPr>
          <w:rFonts w:ascii="Times New Roman" w:hAnsi="Times New Roman"/>
          <w:sz w:val="24"/>
          <w:szCs w:val="24"/>
        </w:rPr>
        <w:t>that CA shares with other educational proposal</w:t>
      </w:r>
      <w:r w:rsidR="00551BC9" w:rsidRPr="009965D1">
        <w:rPr>
          <w:rFonts w:ascii="Times New Roman" w:hAnsi="Times New Roman"/>
          <w:sz w:val="24"/>
          <w:szCs w:val="24"/>
        </w:rPr>
        <w:t>,</w:t>
      </w:r>
      <w:r w:rsidRPr="009965D1">
        <w:rPr>
          <w:rFonts w:ascii="Times New Roman" w:hAnsi="Times New Roman"/>
          <w:sz w:val="24"/>
          <w:szCs w:val="24"/>
        </w:rPr>
        <w:t xml:space="preserve"> </w:t>
      </w:r>
      <w:r w:rsidR="00551BC9" w:rsidRPr="009965D1">
        <w:rPr>
          <w:rFonts w:ascii="Times New Roman" w:hAnsi="Times New Roman"/>
          <w:sz w:val="24"/>
          <w:szCs w:val="24"/>
        </w:rPr>
        <w:t xml:space="preserve">particularly the broad family of critical pedagogies. </w:t>
      </w:r>
      <w:r w:rsidR="00742F43" w:rsidRPr="009965D1">
        <w:rPr>
          <w:rFonts w:ascii="Times New Roman" w:hAnsi="Times New Roman"/>
          <w:sz w:val="24"/>
          <w:szCs w:val="24"/>
        </w:rPr>
        <w:t>Both of them are grounded in v</w:t>
      </w:r>
      <w:r w:rsidR="00551BC9" w:rsidRPr="009965D1">
        <w:rPr>
          <w:rFonts w:ascii="Times New Roman" w:hAnsi="Times New Roman"/>
          <w:sz w:val="24"/>
          <w:szCs w:val="24"/>
        </w:rPr>
        <w:t>alues related with, broadly speaking, social justice</w:t>
      </w:r>
      <w:r w:rsidR="00742F43" w:rsidRPr="009965D1">
        <w:rPr>
          <w:rFonts w:ascii="Times New Roman" w:hAnsi="Times New Roman"/>
          <w:sz w:val="24"/>
          <w:szCs w:val="24"/>
        </w:rPr>
        <w:t xml:space="preserve"> and are committed with a democratic understanding of public life. Critical pedagogies are good in placing power at the centre of analysis while CA is paying special attention to diversity.  Is out of the scope of this paper go further in this analysis</w:t>
      </w:r>
      <w:r w:rsidR="00742F43" w:rsidRPr="009965D1">
        <w:rPr>
          <w:rStyle w:val="Refdenotaalpie"/>
          <w:rFonts w:ascii="Times New Roman" w:hAnsi="Times New Roman"/>
          <w:sz w:val="24"/>
          <w:szCs w:val="24"/>
        </w:rPr>
        <w:footnoteReference w:id="1"/>
      </w:r>
      <w:r w:rsidR="000A341A" w:rsidRPr="009965D1">
        <w:rPr>
          <w:rFonts w:ascii="Times New Roman" w:hAnsi="Times New Roman"/>
          <w:sz w:val="24"/>
          <w:szCs w:val="24"/>
        </w:rPr>
        <w:t>;</w:t>
      </w:r>
      <w:r w:rsidR="00742F43" w:rsidRPr="009965D1">
        <w:rPr>
          <w:rFonts w:ascii="Times New Roman" w:hAnsi="Times New Roman"/>
          <w:sz w:val="24"/>
          <w:szCs w:val="24"/>
        </w:rPr>
        <w:t xml:space="preserve"> but, what we can remark is</w:t>
      </w:r>
      <w:r w:rsidR="000A341A" w:rsidRPr="009965D1">
        <w:rPr>
          <w:rFonts w:ascii="Times New Roman" w:hAnsi="Times New Roman"/>
          <w:sz w:val="24"/>
          <w:szCs w:val="24"/>
        </w:rPr>
        <w:t>,</w:t>
      </w:r>
      <w:r w:rsidR="00742F43" w:rsidRPr="009965D1">
        <w:rPr>
          <w:rFonts w:ascii="Times New Roman" w:hAnsi="Times New Roman"/>
          <w:sz w:val="24"/>
          <w:szCs w:val="24"/>
        </w:rPr>
        <w:t xml:space="preserve"> from both approaches</w:t>
      </w:r>
      <w:r w:rsidR="000A341A" w:rsidRPr="009965D1">
        <w:rPr>
          <w:rFonts w:ascii="Times New Roman" w:hAnsi="Times New Roman"/>
          <w:sz w:val="24"/>
          <w:szCs w:val="24"/>
        </w:rPr>
        <w:t>,</w:t>
      </w:r>
      <w:r w:rsidR="00742F43" w:rsidRPr="009965D1">
        <w:rPr>
          <w:rFonts w:ascii="Times New Roman" w:hAnsi="Times New Roman"/>
          <w:sz w:val="24"/>
          <w:szCs w:val="24"/>
        </w:rPr>
        <w:t xml:space="preserve"> </w:t>
      </w:r>
      <w:r w:rsidR="000A341A" w:rsidRPr="009965D1">
        <w:rPr>
          <w:rFonts w:ascii="Times New Roman" w:hAnsi="Times New Roman"/>
          <w:sz w:val="24"/>
          <w:szCs w:val="24"/>
        </w:rPr>
        <w:t xml:space="preserve">many </w:t>
      </w:r>
      <w:r w:rsidR="00742F43" w:rsidRPr="009965D1">
        <w:rPr>
          <w:rFonts w:ascii="Times New Roman" w:hAnsi="Times New Roman"/>
          <w:sz w:val="24"/>
          <w:szCs w:val="24"/>
        </w:rPr>
        <w:t xml:space="preserve">voices are raising a strong concern against </w:t>
      </w:r>
      <w:r w:rsidR="000A341A" w:rsidRPr="009965D1">
        <w:rPr>
          <w:rFonts w:ascii="Times New Roman" w:hAnsi="Times New Roman"/>
          <w:sz w:val="24"/>
          <w:szCs w:val="24"/>
        </w:rPr>
        <w:t xml:space="preserve">the way in which mainstreaming views of education (personified in the Spanish case) are shaping curriculum and educational arrangements. </w:t>
      </w:r>
    </w:p>
    <w:p w:rsidR="00A76A79" w:rsidRPr="009965D1" w:rsidRDefault="00A76A79" w:rsidP="00A76A79">
      <w:pPr>
        <w:numPr>
          <w:ilvl w:val="0"/>
          <w:numId w:val="6"/>
        </w:numPr>
        <w:ind w:left="720"/>
        <w:jc w:val="both"/>
        <w:rPr>
          <w:rFonts w:ascii="Times New Roman" w:hAnsi="Times New Roman"/>
          <w:b/>
          <w:i/>
          <w:sz w:val="24"/>
          <w:szCs w:val="24"/>
          <w:lang w:val="en-GB"/>
        </w:rPr>
      </w:pPr>
      <w:r w:rsidRPr="009965D1">
        <w:rPr>
          <w:rFonts w:ascii="Times New Roman" w:hAnsi="Times New Roman"/>
          <w:b/>
          <w:sz w:val="24"/>
          <w:szCs w:val="24"/>
          <w:lang w:val="en-GB"/>
        </w:rPr>
        <w:t>The Spanish educational context. Three years of “unavoidable” measures</w:t>
      </w:r>
      <w:r w:rsidR="00663019" w:rsidRPr="009965D1">
        <w:rPr>
          <w:rStyle w:val="Refdenotaalpie"/>
          <w:rFonts w:ascii="Times New Roman" w:hAnsi="Times New Roman"/>
          <w:b/>
          <w:sz w:val="24"/>
          <w:szCs w:val="24"/>
          <w:lang w:val="en-GB"/>
        </w:rPr>
        <w:footnoteReference w:id="2"/>
      </w:r>
      <w:r w:rsidRPr="009965D1">
        <w:rPr>
          <w:rFonts w:ascii="Times New Roman" w:hAnsi="Times New Roman"/>
          <w:b/>
          <w:sz w:val="24"/>
          <w:szCs w:val="24"/>
          <w:lang w:val="en-GB"/>
        </w:rPr>
        <w:t xml:space="preserve"> </w:t>
      </w:r>
    </w:p>
    <w:p w:rsidR="00A76A79" w:rsidRPr="004C49AF" w:rsidRDefault="00A76A79" w:rsidP="00A76A79">
      <w:pPr>
        <w:ind w:left="720"/>
        <w:jc w:val="both"/>
        <w:rPr>
          <w:rFonts w:ascii="Times New Roman" w:hAnsi="Times New Roman"/>
          <w:i/>
          <w:sz w:val="24"/>
          <w:szCs w:val="24"/>
          <w:lang w:val="en-GB"/>
        </w:rPr>
      </w:pPr>
    </w:p>
    <w:p w:rsidR="00A76A79" w:rsidRPr="004C49AF" w:rsidRDefault="00CF7563" w:rsidP="00EE5431">
      <w:pPr>
        <w:spacing w:line="480" w:lineRule="auto"/>
        <w:jc w:val="both"/>
        <w:rPr>
          <w:rFonts w:ascii="Times New Roman" w:hAnsi="Times New Roman"/>
          <w:i/>
          <w:sz w:val="24"/>
          <w:szCs w:val="24"/>
          <w:lang w:val="en-GB"/>
        </w:rPr>
      </w:pPr>
      <w:r w:rsidRPr="004C49AF">
        <w:rPr>
          <w:rFonts w:ascii="Times New Roman" w:hAnsi="Times New Roman"/>
          <w:i/>
          <w:sz w:val="24"/>
          <w:szCs w:val="24"/>
          <w:lang w:val="en-GB"/>
        </w:rPr>
        <w:t>3.1.</w:t>
      </w:r>
      <w:r w:rsidR="00A76A79" w:rsidRPr="004C49AF">
        <w:rPr>
          <w:rFonts w:ascii="Times New Roman" w:hAnsi="Times New Roman"/>
          <w:i/>
          <w:sz w:val="24"/>
          <w:szCs w:val="24"/>
          <w:lang w:val="en-GB"/>
        </w:rPr>
        <w:t>The “unavoidable</w:t>
      </w:r>
      <w:r w:rsidR="00A76A79" w:rsidRPr="004C49AF">
        <w:rPr>
          <w:rFonts w:ascii="Times New Roman" w:hAnsi="Times New Roman"/>
          <w:sz w:val="24"/>
          <w:szCs w:val="24"/>
        </w:rPr>
        <w:t>”</w:t>
      </w:r>
      <w:r w:rsidR="00A76A79" w:rsidRPr="004C49AF">
        <w:rPr>
          <w:rFonts w:ascii="Times New Roman" w:hAnsi="Times New Roman"/>
          <w:i/>
          <w:sz w:val="24"/>
          <w:szCs w:val="24"/>
          <w:lang w:val="en-GB"/>
        </w:rPr>
        <w:t xml:space="preserve"> measures to address the economic crisis </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 xml:space="preserve">In Spain, since 2010, public spending budgets have declined steadily in areas that are particularly sensitive for citizens, such as health, education, benefits, social spending, etc. </w:t>
      </w:r>
      <w:r w:rsidRPr="004C49AF">
        <w:rPr>
          <w:rFonts w:ascii="Times New Roman" w:hAnsi="Times New Roman"/>
          <w:sz w:val="24"/>
          <w:szCs w:val="24"/>
          <w:lang w:val="en-GB"/>
        </w:rPr>
        <w:lastRenderedPageBreak/>
        <w:t>These reductions have intensified as the economic and financial crisis has become more evident and pleas have been made, from the state, for the “unavoidable</w:t>
      </w:r>
      <w:r w:rsidRPr="004C49AF">
        <w:rPr>
          <w:rFonts w:ascii="Times New Roman" w:hAnsi="Times New Roman"/>
          <w:sz w:val="24"/>
          <w:szCs w:val="24"/>
        </w:rPr>
        <w:t>”</w:t>
      </w:r>
      <w:r w:rsidRPr="004C49AF">
        <w:rPr>
          <w:rFonts w:ascii="Times New Roman" w:hAnsi="Times New Roman"/>
          <w:sz w:val="24"/>
          <w:szCs w:val="24"/>
          <w:lang w:val="en-GB"/>
        </w:rPr>
        <w:t xml:space="preserve"> need to limit public spending and reduce Spain's debt.</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Specifically, public investment in education that had been increasing gradually up until 2010, when it reached 4.9% of GDP, has been declining since then. Thus, recent comparative data on total education spending in relation GDP affirms that in 2011 the average for the EU-27 was 5.34%, while in Spain it was 4.74% (EUROSTAT, 2013). If we take into account various news stories that have appeared in the media recently, we can see a noticeable difference in the educational budget, which has decreased from 3,902 million Euros in 2010 to 1,945 million Euros for 2013</w:t>
      </w:r>
      <w:r w:rsidRPr="004C49AF">
        <w:rPr>
          <w:rStyle w:val="Refdenotaalpie"/>
          <w:rFonts w:ascii="Times New Roman" w:hAnsi="Times New Roman"/>
          <w:b/>
          <w:sz w:val="24"/>
          <w:szCs w:val="24"/>
          <w:lang w:val="en-GB"/>
        </w:rPr>
        <w:footnoteReference w:id="3"/>
      </w:r>
      <w:r w:rsidRPr="004C49AF">
        <w:rPr>
          <w:rFonts w:ascii="Times New Roman" w:hAnsi="Times New Roman"/>
          <w:sz w:val="24"/>
          <w:szCs w:val="24"/>
          <w:lang w:val="en-GB"/>
        </w:rPr>
        <w:t>.</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 xml:space="preserve">In April 2012, the government approved </w:t>
      </w:r>
      <w:r w:rsidRPr="004C49AF">
        <w:rPr>
          <w:rFonts w:ascii="Times New Roman" w:eastAsia="Times New Roman" w:hAnsi="Times New Roman"/>
          <w:i/>
          <w:sz w:val="24"/>
          <w:szCs w:val="24"/>
          <w:lang w:eastAsia="es-ES"/>
        </w:rPr>
        <w:t>Real Decreto Ley</w:t>
      </w:r>
      <w:r w:rsidRPr="004C49AF">
        <w:rPr>
          <w:rFonts w:ascii="Times New Roman" w:hAnsi="Times New Roman"/>
          <w:i/>
          <w:sz w:val="24"/>
          <w:szCs w:val="24"/>
          <w:lang w:val="en-GB"/>
        </w:rPr>
        <w:t xml:space="preserve"> 14/2012</w:t>
      </w:r>
      <w:r w:rsidRPr="004C49AF">
        <w:rPr>
          <w:rFonts w:ascii="Times New Roman" w:hAnsi="Times New Roman"/>
          <w:sz w:val="24"/>
          <w:szCs w:val="24"/>
          <w:lang w:val="en-GB"/>
        </w:rPr>
        <w:t xml:space="preserve"> (Royal Decree-Law 14/2012) on urgent measures to streamline public spending on education</w:t>
      </w:r>
      <w:r w:rsidRPr="004C49AF">
        <w:rPr>
          <w:rStyle w:val="Refdenotaalpie"/>
          <w:rFonts w:ascii="Times New Roman" w:eastAsia="Times New Roman" w:hAnsi="Times New Roman"/>
          <w:sz w:val="24"/>
          <w:szCs w:val="24"/>
          <w:lang w:val="en-GB" w:eastAsia="es-ES"/>
        </w:rPr>
        <w:footnoteReference w:id="4"/>
      </w:r>
      <w:r w:rsidRPr="004C49AF">
        <w:rPr>
          <w:rFonts w:ascii="Times New Roman" w:eastAsia="Times New Roman" w:hAnsi="Times New Roman"/>
          <w:sz w:val="24"/>
          <w:szCs w:val="24"/>
          <w:lang w:val="en-GB" w:eastAsia="es-ES"/>
        </w:rPr>
        <w:t xml:space="preserve">. </w:t>
      </w:r>
      <w:r w:rsidRPr="004C49AF">
        <w:rPr>
          <w:rFonts w:ascii="Times New Roman" w:hAnsi="Times New Roman"/>
          <w:sz w:val="24"/>
          <w:szCs w:val="24"/>
          <w:lang w:val="en-GB"/>
        </w:rPr>
        <w:t>Some of the most controversial measures have been: 1) The 20% increase in the maximum number of students per class, and 2) The increase in teaching hours for teachers, with a minimum of 25 hours for primary teachers and 20 hours for other teaching areas.</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Parents' associations have differed in their opinions on the consequences these measures will have on education. The CEAPA, mainly involved with state schools, believes that increased teaching hours will be “at the expense</w:t>
      </w:r>
      <w:r w:rsidRPr="004C49AF">
        <w:rPr>
          <w:rFonts w:ascii="Times New Roman" w:hAnsi="Times New Roman"/>
          <w:sz w:val="24"/>
          <w:szCs w:val="24"/>
        </w:rPr>
        <w:t>”</w:t>
      </w:r>
      <w:r w:rsidRPr="004C49AF">
        <w:rPr>
          <w:rFonts w:ascii="Times New Roman" w:hAnsi="Times New Roman"/>
          <w:sz w:val="24"/>
          <w:szCs w:val="24"/>
          <w:lang w:val="en-GB"/>
        </w:rPr>
        <w:t xml:space="preserve"> of other educational activities, such as tutoring, exam preparation or planning lessons, and the increased student/teacher ratio in compulsory education will mean that not all students will receive adequate attention, given the </w:t>
      </w:r>
      <w:r w:rsidRPr="004C49AF">
        <w:rPr>
          <w:rFonts w:ascii="Times New Roman" w:hAnsi="Times New Roman"/>
          <w:sz w:val="24"/>
          <w:szCs w:val="24"/>
          <w:lang w:val="en-GB"/>
        </w:rPr>
        <w:lastRenderedPageBreak/>
        <w:t>“heterogeneity</w:t>
      </w:r>
      <w:r w:rsidRPr="004C49AF">
        <w:rPr>
          <w:rFonts w:ascii="Times New Roman" w:hAnsi="Times New Roman"/>
          <w:sz w:val="24"/>
          <w:szCs w:val="24"/>
        </w:rPr>
        <w:t>”</w:t>
      </w:r>
      <w:r w:rsidRPr="004C49AF">
        <w:rPr>
          <w:rFonts w:ascii="Times New Roman" w:hAnsi="Times New Roman"/>
          <w:sz w:val="24"/>
          <w:szCs w:val="24"/>
          <w:lang w:val="en-GB"/>
        </w:rPr>
        <w:t xml:space="preserve"> of the students. However, for COFAPA, mainly present in semi-private education (private entities that provide educational services), the plan presented by the Minister of Education, Wert, aims to “increase the efficiency</w:t>
      </w:r>
      <w:r w:rsidRPr="004C49AF">
        <w:rPr>
          <w:rFonts w:ascii="Times New Roman" w:hAnsi="Times New Roman"/>
          <w:sz w:val="24"/>
          <w:szCs w:val="24"/>
        </w:rPr>
        <w:t>”</w:t>
      </w:r>
      <w:r w:rsidRPr="004C49AF">
        <w:rPr>
          <w:rFonts w:ascii="Times New Roman" w:hAnsi="Times New Roman"/>
          <w:sz w:val="24"/>
          <w:szCs w:val="24"/>
          <w:lang w:val="en-GB"/>
        </w:rPr>
        <w:t xml:space="preserve"> of the management of resources, and the further teaching hours for teachers “will strengthen</w:t>
      </w:r>
      <w:r w:rsidRPr="004C49AF">
        <w:rPr>
          <w:rFonts w:ascii="Times New Roman" w:hAnsi="Times New Roman"/>
          <w:sz w:val="24"/>
          <w:szCs w:val="24"/>
        </w:rPr>
        <w:t>”</w:t>
      </w:r>
      <w:r w:rsidRPr="004C49AF">
        <w:rPr>
          <w:rFonts w:ascii="Times New Roman" w:hAnsi="Times New Roman"/>
          <w:sz w:val="24"/>
          <w:szCs w:val="24"/>
          <w:lang w:val="en-GB"/>
        </w:rPr>
        <w:t xml:space="preserve"> the basic or fundamental subjects.</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In the case of universities, one of the most controversial measures has been the revision of tuition fees, bringing the price closer to their actual cost, and the inclusion of academic performance criteria. The application of this measure, which varies significantly according to decisions made in each Autonomous Region, ranges from maintaining the rates, or increasing them commensurate with the Consumer Price Index (CPI) - the average rate of CPI was 2.4% in 2012 (</w:t>
      </w:r>
      <w:r w:rsidRPr="004C49AF">
        <w:rPr>
          <w:rFonts w:ascii="Times New Roman" w:eastAsia="Times New Roman" w:hAnsi="Times New Roman"/>
          <w:sz w:val="24"/>
          <w:szCs w:val="24"/>
          <w:lang w:val="en-GB" w:eastAsia="es-ES"/>
        </w:rPr>
        <w:t>INE, 2013</w:t>
      </w:r>
      <w:r w:rsidRPr="004C49AF">
        <w:rPr>
          <w:rFonts w:eastAsia="Times New Roman"/>
          <w:sz w:val="24"/>
          <w:szCs w:val="24"/>
          <w:vertAlign w:val="superscript"/>
          <w:lang w:val="en-GB"/>
        </w:rPr>
        <w:footnoteReference w:id="5"/>
      </w:r>
      <w:r w:rsidRPr="004C49AF">
        <w:rPr>
          <w:rFonts w:ascii="Times New Roman" w:hAnsi="Times New Roman"/>
          <w:sz w:val="24"/>
          <w:szCs w:val="24"/>
          <w:lang w:val="en-GB"/>
        </w:rPr>
        <w:t>) - to increases of up to 67% for the first registration fee</w:t>
      </w:r>
      <w:r w:rsidRPr="004C49AF">
        <w:rPr>
          <w:rFonts w:eastAsia="Times New Roman"/>
          <w:sz w:val="24"/>
          <w:szCs w:val="24"/>
          <w:vertAlign w:val="superscript"/>
          <w:lang w:val="en-GB"/>
        </w:rPr>
        <w:footnoteReference w:id="6"/>
      </w:r>
      <w:r w:rsidRPr="004C49AF">
        <w:rPr>
          <w:rFonts w:ascii="Times New Roman" w:hAnsi="Times New Roman"/>
          <w:sz w:val="24"/>
          <w:szCs w:val="24"/>
          <w:lang w:val="en-GB"/>
        </w:rPr>
        <w:t>.</w:t>
      </w:r>
    </w:p>
    <w:p w:rsidR="00A76A79" w:rsidRPr="004C49AF" w:rsidRDefault="00A76A79" w:rsidP="00A76A79">
      <w:pPr>
        <w:pStyle w:val="Default"/>
        <w:spacing w:after="200" w:line="480" w:lineRule="auto"/>
        <w:jc w:val="both"/>
        <w:rPr>
          <w:rFonts w:ascii="Times New Roman" w:hAnsi="Times New Roman" w:cs="Times New Roman"/>
          <w:color w:val="auto"/>
          <w:lang w:val="en-GB" w:eastAsia="es-ES"/>
        </w:rPr>
      </w:pPr>
      <w:r w:rsidRPr="004C49AF">
        <w:rPr>
          <w:rFonts w:ascii="Times New Roman" w:hAnsi="Times New Roman"/>
          <w:color w:val="auto"/>
          <w:lang w:val="en-GB"/>
        </w:rPr>
        <w:t xml:space="preserve">In addition, the General State Budget for 2013 sees a 3.8% reduction in scholarships and grants for students, which include general aid for </w:t>
      </w:r>
      <w:r w:rsidRPr="004C49AF">
        <w:rPr>
          <w:rFonts w:ascii="Times New Roman" w:hAnsi="Times New Roman" w:cs="Times New Roman"/>
          <w:color w:val="auto"/>
          <w:lang w:val="en-GB"/>
        </w:rPr>
        <w:t>university and other students,</w:t>
      </w:r>
      <w:r w:rsidRPr="004C49AF">
        <w:rPr>
          <w:rFonts w:ascii="Times New Roman" w:hAnsi="Times New Roman"/>
          <w:color w:val="auto"/>
          <w:lang w:val="en-GB"/>
        </w:rPr>
        <w:t xml:space="preserve"> grants for learning foreign languages and compensation for tuition costs for universities, as well as a freeze on research grants</w:t>
      </w:r>
      <w:r w:rsidRPr="004C49AF">
        <w:rPr>
          <w:rStyle w:val="Refdenotaalpie"/>
          <w:rFonts w:ascii="Times New Roman" w:hAnsi="Times New Roman" w:cs="Times New Roman"/>
          <w:color w:val="auto"/>
          <w:lang w:val="en-GB" w:eastAsia="es-ES"/>
        </w:rPr>
        <w:footnoteReference w:id="7"/>
      </w:r>
      <w:r w:rsidRPr="004C49AF">
        <w:rPr>
          <w:rFonts w:ascii="Times New Roman" w:hAnsi="Times New Roman" w:cs="Times New Roman"/>
          <w:color w:val="auto"/>
          <w:lang w:val="en-GB" w:eastAsia="es-ES"/>
        </w:rPr>
        <w:t>.</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As would be expected, these measures have incited strong reactions in the university education sector. For example, one of the main trade unions</w:t>
      </w:r>
      <w:r w:rsidRPr="004C49AF">
        <w:rPr>
          <w:rStyle w:val="Refdenotaalpie"/>
          <w:rFonts w:ascii="Times New Roman" w:hAnsi="Times New Roman"/>
          <w:sz w:val="24"/>
          <w:szCs w:val="24"/>
          <w:lang w:val="en-GB" w:eastAsia="es-ES"/>
        </w:rPr>
        <w:footnoteReference w:id="8"/>
      </w:r>
      <w:r w:rsidRPr="004C49AF">
        <w:rPr>
          <w:rFonts w:ascii="Times New Roman" w:hAnsi="Times New Roman"/>
          <w:sz w:val="24"/>
          <w:szCs w:val="24"/>
          <w:lang w:val="en-GB" w:eastAsia="es-ES"/>
        </w:rPr>
        <w:t xml:space="preserve"> </w:t>
      </w:r>
      <w:r w:rsidRPr="004C49AF">
        <w:rPr>
          <w:rFonts w:ascii="Times New Roman" w:hAnsi="Times New Roman"/>
          <w:sz w:val="24"/>
          <w:szCs w:val="24"/>
          <w:lang w:val="en-GB"/>
        </w:rPr>
        <w:t xml:space="preserve">recounts that, in Spain, </w:t>
      </w:r>
      <w:r w:rsidRPr="004C49AF">
        <w:rPr>
          <w:rFonts w:ascii="Times New Roman" w:hAnsi="Times New Roman"/>
          <w:sz w:val="24"/>
          <w:szCs w:val="24"/>
          <w:lang w:val="en-GB"/>
        </w:rPr>
        <w:lastRenderedPageBreak/>
        <w:t>investment in scholarships and grants in relation to GDP is one of the lowest in the OECD and in 2009 accounted for 0.11% of GDP compared to 0.29% as the OECD average</w:t>
      </w:r>
      <w:r w:rsidRPr="004C49AF">
        <w:rPr>
          <w:rStyle w:val="Refdenotaalpie"/>
          <w:rFonts w:ascii="Times New Roman" w:hAnsi="Times New Roman"/>
          <w:sz w:val="24"/>
          <w:szCs w:val="24"/>
          <w:lang w:val="en-GB" w:eastAsia="es-ES"/>
        </w:rPr>
        <w:footnoteReference w:id="9"/>
      </w:r>
      <w:r w:rsidRPr="004C49AF">
        <w:rPr>
          <w:rFonts w:ascii="Times New Roman" w:hAnsi="Times New Roman"/>
          <w:sz w:val="24"/>
          <w:szCs w:val="24"/>
          <w:lang w:val="en-GB" w:eastAsia="es-ES"/>
        </w:rPr>
        <w:t>.</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 xml:space="preserve">The OECD itself (2013) has voiced its criticisms of this measure, arguing that </w:t>
      </w:r>
      <w:r w:rsidRPr="004C49AF">
        <w:rPr>
          <w:rFonts w:ascii="Times New Roman" w:hAnsi="Times New Roman"/>
          <w:sz w:val="24"/>
          <w:szCs w:val="24"/>
          <w:lang w:eastAsia="es-ES"/>
        </w:rPr>
        <w:t>“</w:t>
      </w:r>
      <w:r w:rsidRPr="004C49AF">
        <w:rPr>
          <w:rFonts w:ascii="Times New Roman" w:hAnsi="Times New Roman"/>
          <w:sz w:val="24"/>
          <w:szCs w:val="24"/>
          <w:lang w:val="en-GB"/>
        </w:rPr>
        <w:t>higher rates increase resources in universities, [...] but they can restrict access to university to students with fewer resources if a public support system to help pay for or reimburse study costs is lacking. Additionally, if you have a labour market that does not offer sufficient employment opportunities, as is the case in Spain, high tuition fees discourage young students from choosing subjects that require long periods of study, so they enter the labour market earlier on, and at a disadvantage</w:t>
      </w:r>
      <w:r w:rsidRPr="004C49AF">
        <w:rPr>
          <w:rFonts w:ascii="Times New Roman" w:hAnsi="Times New Roman"/>
          <w:sz w:val="24"/>
          <w:szCs w:val="24"/>
          <w:lang w:eastAsia="es-ES"/>
        </w:rPr>
        <w:t>”</w:t>
      </w:r>
      <w:r w:rsidRPr="004C49AF">
        <w:rPr>
          <w:rFonts w:ascii="Times New Roman" w:hAnsi="Times New Roman"/>
          <w:sz w:val="24"/>
          <w:szCs w:val="24"/>
          <w:lang w:val="en-GB"/>
        </w:rPr>
        <w:t>.</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Even clearer criticism comes from the university professors Hernández Armenteros and Pérez García, experts in college funding. In a recent article in the press these authors estimated that the upward revision of qualifications for access to university education in order to obtain a grant, from 5 to 5.5 points and to 6.5 points in the academic years of 2012/13 and 2013/14 respectively, would mean that 6.75% of grant students would lose that status</w:t>
      </w:r>
      <w:r w:rsidRPr="004C49AF">
        <w:rPr>
          <w:rStyle w:val="Refdenotaalpie"/>
          <w:rFonts w:ascii="Times New Roman" w:hAnsi="Times New Roman"/>
          <w:lang w:val="en-GB" w:eastAsia="es-ES"/>
        </w:rPr>
        <w:footnoteReference w:id="10"/>
      </w:r>
      <w:r w:rsidRPr="004C49AF">
        <w:rPr>
          <w:rFonts w:ascii="Times New Roman" w:hAnsi="Times New Roman"/>
          <w:lang w:val="en-GB" w:eastAsia="es-ES"/>
        </w:rPr>
        <w:t xml:space="preserve">. </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For its part, the Conference of Rectors of Spanish Universities, under no suspicion of harbouring partisan interests, in a statement from June 2013, rejects the amendments to the scholarship system</w:t>
      </w:r>
      <w:r w:rsidRPr="004C49AF">
        <w:rPr>
          <w:rFonts w:ascii="Times New Roman" w:hAnsi="Times New Roman"/>
          <w:sz w:val="24"/>
          <w:szCs w:val="24"/>
          <w:vertAlign w:val="superscript"/>
          <w:lang w:val="en-GB" w:eastAsia="es-ES"/>
        </w:rPr>
        <w:footnoteReference w:id="11"/>
      </w:r>
      <w:r w:rsidRPr="004C49AF">
        <w:rPr>
          <w:rFonts w:ascii="Times New Roman" w:hAnsi="Times New Roman"/>
          <w:sz w:val="24"/>
          <w:szCs w:val="24"/>
          <w:lang w:val="en-GB" w:eastAsia="es-ES"/>
        </w:rPr>
        <w:t xml:space="preserve"> </w:t>
      </w:r>
      <w:r w:rsidRPr="004C49AF">
        <w:rPr>
          <w:rFonts w:ascii="Times New Roman" w:hAnsi="Times New Roman"/>
          <w:sz w:val="24"/>
          <w:szCs w:val="24"/>
          <w:lang w:val="en-GB"/>
        </w:rPr>
        <w:t xml:space="preserve">and proposes to the Ministry of Education that the only requirement be that of income. </w:t>
      </w:r>
      <w:r w:rsidRPr="004C49AF">
        <w:rPr>
          <w:rFonts w:ascii="Times New Roman" w:hAnsi="Times New Roman"/>
          <w:sz w:val="24"/>
          <w:szCs w:val="24"/>
          <w:lang w:eastAsia="es-ES"/>
        </w:rPr>
        <w:t>“</w:t>
      </w:r>
      <w:r w:rsidRPr="004C49AF">
        <w:rPr>
          <w:rFonts w:ascii="Times New Roman" w:hAnsi="Times New Roman"/>
          <w:sz w:val="24"/>
          <w:szCs w:val="24"/>
          <w:lang w:val="en-GB"/>
        </w:rPr>
        <w:t>The application of the new academic requirements, along with changes to the model of allocating funds, could lead to exclusion and have the effect of deterring students from accessing and continuing in higher education</w:t>
      </w:r>
      <w:r w:rsidRPr="004C49AF">
        <w:rPr>
          <w:rFonts w:ascii="Times New Roman" w:hAnsi="Times New Roman"/>
          <w:sz w:val="24"/>
          <w:szCs w:val="24"/>
          <w:lang w:eastAsia="es-ES"/>
        </w:rPr>
        <w:t>”.</w:t>
      </w:r>
      <w:r w:rsidRPr="004C49AF">
        <w:rPr>
          <w:rFonts w:ascii="Times New Roman" w:hAnsi="Times New Roman"/>
          <w:sz w:val="24"/>
          <w:szCs w:val="24"/>
          <w:lang w:val="en-GB"/>
        </w:rPr>
        <w:t xml:space="preserve"> They also consider that this measure </w:t>
      </w:r>
      <w:r w:rsidRPr="004C49AF">
        <w:rPr>
          <w:rFonts w:ascii="Times New Roman" w:hAnsi="Times New Roman"/>
          <w:sz w:val="24"/>
          <w:szCs w:val="24"/>
          <w:lang w:eastAsia="es-ES"/>
        </w:rPr>
        <w:t>“</w:t>
      </w:r>
      <w:r w:rsidRPr="004C49AF">
        <w:rPr>
          <w:rFonts w:ascii="Times New Roman" w:hAnsi="Times New Roman"/>
          <w:sz w:val="24"/>
          <w:szCs w:val="24"/>
          <w:lang w:val="en-GB"/>
        </w:rPr>
        <w:t>acts against the groups that are most vulnerable and at risk of exclusion.</w:t>
      </w:r>
      <w:r w:rsidRPr="004C49AF">
        <w:rPr>
          <w:rFonts w:ascii="Times New Roman" w:hAnsi="Times New Roman"/>
          <w:sz w:val="24"/>
          <w:szCs w:val="24"/>
          <w:lang w:eastAsia="es-ES"/>
        </w:rPr>
        <w:t xml:space="preserve">” </w:t>
      </w:r>
      <w:r w:rsidRPr="004C49AF">
        <w:rPr>
          <w:rFonts w:ascii="Times New Roman" w:hAnsi="Times New Roman"/>
          <w:sz w:val="24"/>
          <w:szCs w:val="24"/>
          <w:lang w:val="en-GB"/>
        </w:rPr>
        <w:t xml:space="preserve">They add </w:t>
      </w:r>
      <w:r w:rsidRPr="004C49AF">
        <w:rPr>
          <w:rFonts w:ascii="Times New Roman" w:hAnsi="Times New Roman"/>
          <w:sz w:val="24"/>
          <w:szCs w:val="24"/>
          <w:lang w:val="en-GB"/>
        </w:rPr>
        <w:lastRenderedPageBreak/>
        <w:t xml:space="preserve">that: </w:t>
      </w:r>
      <w:r w:rsidRPr="004C49AF">
        <w:rPr>
          <w:rFonts w:ascii="Times New Roman" w:hAnsi="Times New Roman"/>
          <w:sz w:val="24"/>
          <w:szCs w:val="24"/>
          <w:lang w:eastAsia="es-ES"/>
        </w:rPr>
        <w:t>“</w:t>
      </w:r>
      <w:r w:rsidRPr="004C49AF">
        <w:rPr>
          <w:rFonts w:ascii="Times New Roman" w:hAnsi="Times New Roman"/>
          <w:sz w:val="24"/>
          <w:szCs w:val="24"/>
          <w:lang w:val="en-GB"/>
        </w:rPr>
        <w:t>these grants, which are an instrument of integration and social advancement, should not be mixed or confused with scholarships for academic excellence.</w:t>
      </w:r>
      <w:r w:rsidRPr="004C49AF">
        <w:rPr>
          <w:rFonts w:ascii="Times New Roman" w:hAnsi="Times New Roman"/>
          <w:sz w:val="24"/>
          <w:szCs w:val="24"/>
          <w:lang w:eastAsia="es-ES"/>
        </w:rPr>
        <w:t>”</w:t>
      </w:r>
    </w:p>
    <w:p w:rsidR="00A76A79" w:rsidRPr="004C49AF" w:rsidRDefault="00CF7563" w:rsidP="00EE5431">
      <w:pPr>
        <w:autoSpaceDE w:val="0"/>
        <w:autoSpaceDN w:val="0"/>
        <w:adjustRightInd w:val="0"/>
        <w:spacing w:line="480" w:lineRule="auto"/>
        <w:ind w:firstLine="720"/>
        <w:jc w:val="both"/>
        <w:rPr>
          <w:rFonts w:ascii="Times New Roman" w:hAnsi="Times New Roman"/>
          <w:i/>
          <w:sz w:val="24"/>
          <w:szCs w:val="24"/>
          <w:lang w:val="en-GB"/>
        </w:rPr>
      </w:pPr>
      <w:r w:rsidRPr="004C49AF">
        <w:rPr>
          <w:rFonts w:ascii="Times New Roman" w:hAnsi="Times New Roman"/>
          <w:i/>
          <w:sz w:val="24"/>
          <w:szCs w:val="24"/>
          <w:lang w:val="en-GB"/>
        </w:rPr>
        <w:t xml:space="preserve">3.2. </w:t>
      </w:r>
      <w:r w:rsidR="00A76A79" w:rsidRPr="004C49AF">
        <w:rPr>
          <w:rFonts w:ascii="Times New Roman" w:hAnsi="Times New Roman"/>
          <w:i/>
          <w:sz w:val="24"/>
          <w:szCs w:val="24"/>
          <w:lang w:val="en-GB"/>
        </w:rPr>
        <w:t>The Tides of Citizens</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Amongst the various groups that have spoken out clearly against the measures, the most notable are the social movements and protest groups formed by</w:t>
      </w:r>
      <w:r w:rsidRPr="004C49AF">
        <w:rPr>
          <w:rFonts w:ascii="Times New Roman" w:hAnsi="Times New Roman"/>
          <w:b/>
          <w:sz w:val="24"/>
          <w:szCs w:val="24"/>
          <w:lang w:val="en-GB"/>
        </w:rPr>
        <w:t xml:space="preserve"> </w:t>
      </w:r>
      <w:r w:rsidRPr="004C49AF">
        <w:rPr>
          <w:rFonts w:ascii="Times New Roman" w:hAnsi="Times New Roman"/>
          <w:sz w:val="24"/>
          <w:szCs w:val="24"/>
          <w:lang w:val="en-GB"/>
        </w:rPr>
        <w:t>professionals and citizens denouncing their loss of rights</w:t>
      </w:r>
      <w:r w:rsidRPr="004C49AF">
        <w:rPr>
          <w:rFonts w:ascii="Times New Roman" w:hAnsi="Times New Roman"/>
          <w:b/>
          <w:sz w:val="24"/>
          <w:szCs w:val="24"/>
          <w:lang w:val="en-GB"/>
        </w:rPr>
        <w:t>.</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According to Jaime Pastor</w:t>
      </w:r>
      <w:r w:rsidRPr="004C49AF">
        <w:rPr>
          <w:rStyle w:val="Refdenotaalpie"/>
          <w:rFonts w:ascii="Times New Roman" w:hAnsi="Times New Roman"/>
          <w:sz w:val="24"/>
          <w:szCs w:val="24"/>
          <w:lang w:val="en-GB"/>
        </w:rPr>
        <w:footnoteReference w:id="12"/>
      </w:r>
      <w:r w:rsidRPr="004C49AF">
        <w:rPr>
          <w:rFonts w:ascii="Times New Roman" w:hAnsi="Times New Roman"/>
          <w:sz w:val="24"/>
          <w:szCs w:val="24"/>
          <w:lang w:val="en-GB"/>
        </w:rPr>
        <w:t xml:space="preserve">, professor of Political Science and an expert on social movements, the 15M group, which arose in May 2011 as a public outcry against the consequences of the economic crisis, the social cuts and as a criticism of the way politicians go about their politics, influenced and had a </w:t>
      </w:r>
      <w:r w:rsidRPr="004C49AF">
        <w:rPr>
          <w:rFonts w:ascii="Times New Roman" w:hAnsi="Times New Roman"/>
          <w:sz w:val="24"/>
          <w:szCs w:val="24"/>
        </w:rPr>
        <w:t>“</w:t>
      </w:r>
      <w:r w:rsidRPr="004C49AF">
        <w:rPr>
          <w:rFonts w:ascii="Times New Roman" w:hAnsi="Times New Roman"/>
          <w:sz w:val="24"/>
          <w:szCs w:val="24"/>
          <w:lang w:val="en-GB"/>
        </w:rPr>
        <w:t>contagious</w:t>
      </w:r>
      <w:r w:rsidRPr="004C49AF">
        <w:rPr>
          <w:rFonts w:ascii="Times New Roman" w:hAnsi="Times New Roman"/>
          <w:sz w:val="24"/>
          <w:szCs w:val="24"/>
        </w:rPr>
        <w:t>”</w:t>
      </w:r>
      <w:r w:rsidRPr="004C49AF">
        <w:rPr>
          <w:rFonts w:ascii="Times New Roman" w:hAnsi="Times New Roman"/>
          <w:sz w:val="24"/>
          <w:szCs w:val="24"/>
          <w:lang w:val="en-GB"/>
        </w:rPr>
        <w:t xml:space="preserve"> effect on other movements such as the </w:t>
      </w:r>
      <w:r w:rsidRPr="004C49AF">
        <w:rPr>
          <w:rFonts w:ascii="Times New Roman" w:hAnsi="Times New Roman"/>
          <w:sz w:val="24"/>
          <w:szCs w:val="24"/>
        </w:rPr>
        <w:t>“</w:t>
      </w:r>
      <w:r w:rsidRPr="004C49AF">
        <w:rPr>
          <w:rFonts w:ascii="Times New Roman" w:hAnsi="Times New Roman"/>
          <w:i/>
          <w:sz w:val="24"/>
          <w:szCs w:val="24"/>
          <w:lang w:val="en-GB"/>
        </w:rPr>
        <w:t>Marea Verde</w:t>
      </w:r>
      <w:r w:rsidRPr="004C49AF">
        <w:rPr>
          <w:rFonts w:ascii="Times New Roman" w:hAnsi="Times New Roman"/>
          <w:sz w:val="24"/>
          <w:szCs w:val="24"/>
        </w:rPr>
        <w:t>”</w:t>
      </w:r>
      <w:r w:rsidRPr="004C49AF">
        <w:rPr>
          <w:rStyle w:val="Refdenotaalpie"/>
          <w:rFonts w:ascii="Times New Roman" w:hAnsi="Times New Roman"/>
          <w:sz w:val="24"/>
          <w:szCs w:val="24"/>
          <w:lang w:val="en-GB"/>
        </w:rPr>
        <w:footnoteReference w:id="13"/>
      </w:r>
      <w:r w:rsidRPr="004C49AF">
        <w:rPr>
          <w:rFonts w:ascii="Times New Roman" w:hAnsi="Times New Roman"/>
          <w:sz w:val="24"/>
          <w:szCs w:val="24"/>
          <w:lang w:val="en-GB"/>
        </w:rPr>
        <w:t xml:space="preserve">  (the</w:t>
      </w:r>
      <w:r w:rsidRPr="004C49AF">
        <w:rPr>
          <w:rFonts w:ascii="Times New Roman" w:hAnsi="Times New Roman"/>
          <w:i/>
          <w:sz w:val="24"/>
          <w:szCs w:val="24"/>
          <w:lang w:val="en-GB"/>
        </w:rPr>
        <w:t xml:space="preserve"> Green Tide, </w:t>
      </w:r>
      <w:r w:rsidRPr="004C49AF">
        <w:rPr>
          <w:rFonts w:ascii="Times New Roman" w:hAnsi="Times New Roman"/>
          <w:sz w:val="24"/>
          <w:szCs w:val="24"/>
          <w:lang w:val="en-GB"/>
        </w:rPr>
        <w:t xml:space="preserve">professionals from the educational sector), the </w:t>
      </w:r>
      <w:r w:rsidRPr="004C49AF">
        <w:rPr>
          <w:rFonts w:ascii="Times New Roman" w:hAnsi="Times New Roman"/>
          <w:sz w:val="24"/>
          <w:szCs w:val="24"/>
        </w:rPr>
        <w:t>“</w:t>
      </w:r>
      <w:r w:rsidRPr="004C49AF">
        <w:rPr>
          <w:rFonts w:ascii="Times New Roman" w:hAnsi="Times New Roman"/>
          <w:i/>
          <w:sz w:val="24"/>
          <w:szCs w:val="24"/>
          <w:lang w:val="en-GB"/>
        </w:rPr>
        <w:t>Marea Blanca</w:t>
      </w:r>
      <w:r w:rsidRPr="004C49AF">
        <w:rPr>
          <w:rFonts w:ascii="Times New Roman" w:hAnsi="Times New Roman"/>
          <w:sz w:val="24"/>
          <w:szCs w:val="24"/>
        </w:rPr>
        <w:t>”</w:t>
      </w:r>
      <w:r w:rsidRPr="004C49AF">
        <w:rPr>
          <w:rFonts w:ascii="Times New Roman" w:hAnsi="Times New Roman"/>
          <w:sz w:val="24"/>
          <w:szCs w:val="24"/>
          <w:lang w:val="en-GB"/>
        </w:rPr>
        <w:t xml:space="preserve"> (</w:t>
      </w:r>
      <w:r w:rsidRPr="004C49AF">
        <w:rPr>
          <w:rFonts w:ascii="Times New Roman" w:hAnsi="Times New Roman"/>
          <w:i/>
          <w:sz w:val="24"/>
          <w:szCs w:val="24"/>
          <w:lang w:val="en-GB"/>
        </w:rPr>
        <w:t>White Tide</w:t>
      </w:r>
      <w:r w:rsidRPr="004C49AF">
        <w:rPr>
          <w:rFonts w:ascii="Times New Roman" w:hAnsi="Times New Roman"/>
          <w:sz w:val="24"/>
          <w:szCs w:val="24"/>
          <w:lang w:val="en-GB"/>
        </w:rPr>
        <w:t xml:space="preserve">, of health sector workers) or the </w:t>
      </w:r>
      <w:r w:rsidRPr="004C49AF">
        <w:rPr>
          <w:rFonts w:ascii="Times New Roman" w:hAnsi="Times New Roman"/>
          <w:i/>
          <w:sz w:val="24"/>
          <w:szCs w:val="24"/>
          <w:lang w:val="en-GB"/>
        </w:rPr>
        <w:t>Plataforma de Afectados por la Hipoteca</w:t>
      </w:r>
      <w:r w:rsidRPr="004C49AF">
        <w:rPr>
          <w:rFonts w:ascii="Times New Roman" w:hAnsi="Times New Roman"/>
          <w:sz w:val="24"/>
          <w:szCs w:val="24"/>
          <w:lang w:val="en-GB"/>
        </w:rPr>
        <w:t xml:space="preserve"> (a protest group for those affected by mortgages), amongst others.</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 xml:space="preserve">In the education sector, the </w:t>
      </w:r>
      <w:r w:rsidRPr="004C49AF">
        <w:rPr>
          <w:rFonts w:ascii="Times New Roman" w:hAnsi="Times New Roman"/>
          <w:i/>
          <w:sz w:val="24"/>
          <w:szCs w:val="24"/>
          <w:lang w:val="en-GB"/>
        </w:rPr>
        <w:t>Green Tide</w:t>
      </w:r>
      <w:r w:rsidRPr="004C49AF">
        <w:rPr>
          <w:rFonts w:ascii="Times New Roman" w:hAnsi="Times New Roman"/>
          <w:sz w:val="24"/>
          <w:szCs w:val="24"/>
          <w:lang w:val="en-GB"/>
        </w:rPr>
        <w:t xml:space="preserve"> social movement, whose motto is </w:t>
      </w:r>
      <w:r w:rsidRPr="004C49AF">
        <w:rPr>
          <w:rFonts w:ascii="Times New Roman" w:hAnsi="Times New Roman"/>
          <w:sz w:val="24"/>
          <w:szCs w:val="24"/>
        </w:rPr>
        <w:t>“</w:t>
      </w:r>
      <w:r w:rsidRPr="004C49AF">
        <w:rPr>
          <w:rFonts w:ascii="Times New Roman" w:hAnsi="Times New Roman"/>
          <w:sz w:val="24"/>
          <w:szCs w:val="24"/>
          <w:lang w:val="en-GB"/>
        </w:rPr>
        <w:t>state schools are ours, and for everyone</w:t>
      </w:r>
      <w:r w:rsidRPr="004C49AF">
        <w:rPr>
          <w:rFonts w:ascii="Times New Roman" w:hAnsi="Times New Roman"/>
          <w:sz w:val="24"/>
          <w:szCs w:val="24"/>
        </w:rPr>
        <w:t>”</w:t>
      </w:r>
      <w:r w:rsidRPr="004C49AF">
        <w:rPr>
          <w:rFonts w:ascii="Times New Roman" w:hAnsi="Times New Roman"/>
          <w:sz w:val="24"/>
          <w:szCs w:val="24"/>
          <w:lang w:val="en-GB"/>
        </w:rPr>
        <w:t>, arose in mid-2011 as a protest group that brought together professionals from non-university education in the Community of Madrid. Primarily, they rejected the decision not to renew the contracts of more than 3,000 temporary teachers for the 2011-2012 academic year, as a result of the two-hour increase in teaching time for other teachers. For the protest group, the measure signified a reduction in the quality of teaching since it contributed to increasing teacher workload, making it impossible to dedicate time to the tasks of tutoring and student services, maintenance of computer equipment or services such as the school library or laboratory practice.</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lastRenderedPageBreak/>
        <w:t xml:space="preserve">To this were added other measures, such as a </w:t>
      </w:r>
      <w:r w:rsidRPr="004C49AF">
        <w:rPr>
          <w:rFonts w:ascii="Times New Roman" w:eastAsia="Times New Roman" w:hAnsi="Times New Roman"/>
          <w:sz w:val="24"/>
          <w:szCs w:val="24"/>
          <w:lang w:val="en-GB" w:eastAsia="es-ES"/>
        </w:rPr>
        <w:t xml:space="preserve">5% </w:t>
      </w:r>
      <w:r w:rsidRPr="004C49AF">
        <w:rPr>
          <w:rFonts w:ascii="Times New Roman" w:hAnsi="Times New Roman"/>
          <w:sz w:val="24"/>
          <w:szCs w:val="24"/>
          <w:lang w:val="en-GB"/>
        </w:rPr>
        <w:t>pay cut for teachers in May 2010</w:t>
      </w:r>
      <w:r w:rsidRPr="004C49AF">
        <w:rPr>
          <w:rStyle w:val="Refdenotaalpie"/>
          <w:rFonts w:ascii="Times New Roman" w:eastAsia="Times New Roman" w:hAnsi="Times New Roman"/>
          <w:sz w:val="24"/>
          <w:szCs w:val="24"/>
          <w:lang w:val="en-GB" w:eastAsia="es-ES"/>
        </w:rPr>
        <w:footnoteReference w:id="14"/>
      </w:r>
      <w:r w:rsidRPr="004C49AF">
        <w:rPr>
          <w:rFonts w:ascii="Times New Roman" w:eastAsia="Times New Roman" w:hAnsi="Times New Roman"/>
          <w:sz w:val="24"/>
          <w:szCs w:val="24"/>
          <w:lang w:val="en-GB" w:eastAsia="es-ES"/>
        </w:rPr>
        <w:t xml:space="preserve">, </w:t>
      </w:r>
      <w:r w:rsidRPr="004C49AF">
        <w:rPr>
          <w:rFonts w:ascii="Times New Roman" w:hAnsi="Times New Roman"/>
          <w:sz w:val="24"/>
          <w:szCs w:val="24"/>
          <w:lang w:val="en-GB"/>
        </w:rPr>
        <w:t>and subsequent pay cuts that included the loss of two months additional pay and other bonuses. In total, it is estimated that these measures have together brought about a 20% loss in teachers' purchasing power over the last three years (FETE-UGT, 2013).</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 xml:space="preserve">The group organises various protest actions (school sit-ins, demonstrations, strike days, etc.) against budget cuts in public education by the central and regional governments. This social movement has continued to spread throughout the country, with numerous initiatives and associations being created - such as </w:t>
      </w:r>
      <w:r w:rsidRPr="004C49AF">
        <w:rPr>
          <w:rFonts w:ascii="Times New Roman" w:hAnsi="Times New Roman"/>
          <w:bCs/>
          <w:i/>
          <w:sz w:val="24"/>
          <w:szCs w:val="24"/>
          <w:lang w:val="en-GB"/>
        </w:rPr>
        <w:t xml:space="preserve">Plataforma Estatal por la Escuela Pública </w:t>
      </w:r>
      <w:r w:rsidRPr="004C49AF">
        <w:rPr>
          <w:rFonts w:ascii="Times New Roman" w:hAnsi="Times New Roman"/>
          <w:sz w:val="24"/>
          <w:szCs w:val="24"/>
          <w:lang w:val="en-GB"/>
        </w:rPr>
        <w:t>(National Platform for State Schools)</w:t>
      </w:r>
      <w:r w:rsidRPr="004C49AF">
        <w:rPr>
          <w:rFonts w:ascii="Times New Roman" w:hAnsi="Times New Roman"/>
          <w:bCs/>
          <w:sz w:val="24"/>
          <w:szCs w:val="24"/>
          <w:lang w:val="en-GB"/>
        </w:rPr>
        <w:t xml:space="preserve">, </w:t>
      </w:r>
      <w:r w:rsidRPr="004C49AF">
        <w:rPr>
          <w:rFonts w:ascii="Times New Roman" w:hAnsi="Times New Roman"/>
          <w:bCs/>
          <w:i/>
          <w:sz w:val="24"/>
          <w:szCs w:val="24"/>
          <w:lang w:val="en-GB"/>
        </w:rPr>
        <w:t>Mejora tu Escuela Pública</w:t>
      </w:r>
      <w:r w:rsidRPr="004C49AF">
        <w:rPr>
          <w:rFonts w:ascii="Times New Roman" w:hAnsi="Times New Roman"/>
          <w:bCs/>
          <w:sz w:val="24"/>
          <w:szCs w:val="24"/>
          <w:lang w:val="en-GB"/>
        </w:rPr>
        <w:t xml:space="preserve"> (</w:t>
      </w:r>
      <w:r w:rsidRPr="004C49AF">
        <w:rPr>
          <w:rFonts w:ascii="Times New Roman" w:hAnsi="Times New Roman"/>
          <w:sz w:val="24"/>
          <w:szCs w:val="24"/>
          <w:lang w:val="en-GB"/>
        </w:rPr>
        <w:t>Improve your State School)</w:t>
      </w:r>
      <w:r w:rsidRPr="004C49AF">
        <w:rPr>
          <w:rFonts w:ascii="Times New Roman" w:hAnsi="Times New Roman"/>
          <w:bCs/>
          <w:i/>
          <w:sz w:val="24"/>
          <w:szCs w:val="24"/>
          <w:lang w:val="en-GB"/>
        </w:rPr>
        <w:t>, Soy Pública,</w:t>
      </w:r>
      <w:r w:rsidRPr="004C49AF">
        <w:rPr>
          <w:rFonts w:ascii="Times New Roman" w:hAnsi="Times New Roman"/>
          <w:bCs/>
          <w:sz w:val="24"/>
          <w:szCs w:val="24"/>
          <w:lang w:val="en-GB"/>
        </w:rPr>
        <w:t xml:space="preserve"> (</w:t>
      </w:r>
      <w:r w:rsidRPr="004C49AF">
        <w:rPr>
          <w:rFonts w:ascii="Times New Roman" w:hAnsi="Times New Roman"/>
          <w:sz w:val="24"/>
          <w:szCs w:val="24"/>
          <w:lang w:val="en-GB"/>
        </w:rPr>
        <w:t xml:space="preserve">I'm state), etc. - at regional and national levels, which have made the </w:t>
      </w:r>
      <w:r w:rsidRPr="004C49AF">
        <w:rPr>
          <w:rFonts w:ascii="Times New Roman" w:hAnsi="Times New Roman"/>
          <w:i/>
          <w:sz w:val="24"/>
          <w:szCs w:val="24"/>
          <w:lang w:val="en-GB"/>
        </w:rPr>
        <w:t>Green Tide</w:t>
      </w:r>
      <w:r w:rsidRPr="004C49AF">
        <w:rPr>
          <w:rFonts w:ascii="Times New Roman" w:hAnsi="Times New Roman"/>
          <w:sz w:val="24"/>
          <w:szCs w:val="24"/>
          <w:lang w:val="en-GB"/>
        </w:rPr>
        <w:t xml:space="preserve"> a symbol of the protests in education.</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In this wave of protests, those with the greatest impact were the two general strikes in the public education sector at all levels - from infant to university - backed by the entire teaching community, one in May 2012 whose central motive was the rejection of the measures contained in the Royal Decree Law 14/2012, discussed earlier, and a second in May 2013 in reaction to the implementation of a new act on education that we will look at in the next section.</w:t>
      </w:r>
    </w:p>
    <w:p w:rsidR="00A76A79" w:rsidRPr="004C49AF" w:rsidRDefault="00CF7563" w:rsidP="00EE5431">
      <w:pPr>
        <w:spacing w:line="480" w:lineRule="auto"/>
        <w:ind w:left="720"/>
        <w:jc w:val="both"/>
        <w:rPr>
          <w:rFonts w:ascii="Times New Roman" w:hAnsi="Times New Roman"/>
          <w:i/>
          <w:sz w:val="24"/>
          <w:szCs w:val="24"/>
          <w:lang w:val="en-GB"/>
        </w:rPr>
      </w:pPr>
      <w:r w:rsidRPr="004C49AF">
        <w:rPr>
          <w:rFonts w:ascii="Times New Roman" w:hAnsi="Times New Roman"/>
          <w:i/>
          <w:sz w:val="24"/>
          <w:szCs w:val="24"/>
          <w:lang w:val="en-GB"/>
        </w:rPr>
        <w:t xml:space="preserve">3.3. </w:t>
      </w:r>
      <w:r w:rsidR="00A76A79" w:rsidRPr="004C49AF">
        <w:rPr>
          <w:rFonts w:ascii="Times New Roman" w:hAnsi="Times New Roman"/>
          <w:i/>
          <w:sz w:val="24"/>
          <w:szCs w:val="24"/>
          <w:lang w:val="en-GB"/>
        </w:rPr>
        <w:t xml:space="preserve">The new Law to Reform the Quality of Education </w:t>
      </w:r>
      <w:r w:rsidR="00A333FF" w:rsidRPr="004C49AF">
        <w:rPr>
          <w:rFonts w:ascii="Times New Roman" w:hAnsi="Times New Roman"/>
          <w:i/>
          <w:sz w:val="24"/>
          <w:szCs w:val="24"/>
          <w:lang w:val="en-GB"/>
        </w:rPr>
        <w:t>(</w:t>
      </w:r>
      <w:r w:rsidR="00A76A79" w:rsidRPr="004C49AF">
        <w:rPr>
          <w:rFonts w:ascii="Times New Roman" w:hAnsi="Times New Roman"/>
          <w:i/>
          <w:sz w:val="24"/>
          <w:szCs w:val="24"/>
          <w:lang w:val="en-GB"/>
        </w:rPr>
        <w:t>LOMCE)</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 xml:space="preserve">With this title, on May 17, 2013 the current Spanish government approved the LOMCE project as a reform to the previous </w:t>
      </w:r>
      <w:r w:rsidRPr="004C49AF">
        <w:rPr>
          <w:rFonts w:ascii="Times New Roman" w:hAnsi="Times New Roman"/>
          <w:i/>
          <w:sz w:val="24"/>
          <w:szCs w:val="24"/>
        </w:rPr>
        <w:t>Ley Orgánica de Educación</w:t>
      </w:r>
      <w:r w:rsidRPr="004C49AF">
        <w:rPr>
          <w:rFonts w:ascii="Times New Roman" w:hAnsi="Times New Roman"/>
          <w:sz w:val="24"/>
          <w:szCs w:val="24"/>
          <w:lang w:val="en-GB"/>
        </w:rPr>
        <w:t xml:space="preserve"> (Organic Law on Education, LOE, 2006)</w:t>
      </w:r>
      <w:r w:rsidRPr="004C49AF">
        <w:rPr>
          <w:rStyle w:val="Refdenotaalpie"/>
          <w:rFonts w:ascii="Times New Roman" w:hAnsi="Times New Roman"/>
          <w:sz w:val="24"/>
          <w:szCs w:val="24"/>
          <w:lang w:val="en-GB"/>
        </w:rPr>
        <w:footnoteReference w:id="15"/>
      </w:r>
      <w:r w:rsidRPr="004C49AF">
        <w:rPr>
          <w:rFonts w:ascii="Times New Roman" w:hAnsi="Times New Roman"/>
          <w:sz w:val="24"/>
          <w:szCs w:val="24"/>
          <w:lang w:val="en-GB"/>
        </w:rPr>
        <w:t xml:space="preserve">. According to The Ministry of Education, “the approval of this bill is justified </w:t>
      </w:r>
      <w:r w:rsidRPr="004C49AF">
        <w:rPr>
          <w:rFonts w:ascii="Times New Roman" w:hAnsi="Times New Roman"/>
          <w:sz w:val="24"/>
          <w:szCs w:val="24"/>
          <w:lang w:val="en-GB"/>
        </w:rPr>
        <w:lastRenderedPageBreak/>
        <w:t>by objective data provided by all the international studies, which demonstrate that education in Spain is in urgent need of reform</w:t>
      </w:r>
      <w:r w:rsidRPr="004C49AF">
        <w:rPr>
          <w:rFonts w:ascii="Times New Roman" w:hAnsi="Times New Roman"/>
          <w:sz w:val="24"/>
          <w:szCs w:val="24"/>
        </w:rPr>
        <w:t>”</w:t>
      </w:r>
      <w:r w:rsidRPr="004C49AF">
        <w:rPr>
          <w:rFonts w:ascii="Times New Roman" w:hAnsi="Times New Roman"/>
          <w:sz w:val="24"/>
          <w:szCs w:val="24"/>
          <w:lang w:val="en-GB"/>
        </w:rPr>
        <w:t>. This Bill is currently before Parliament but, owing to the absolute majority of the party in government, it is expected that it will be approved without problems.</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The initial explanatory memorandum for the act clearly states the proposed educational model:</w:t>
      </w:r>
    </w:p>
    <w:p w:rsidR="00A76A79" w:rsidRPr="004C49AF" w:rsidRDefault="00A76A79" w:rsidP="00A76A79">
      <w:pPr>
        <w:autoSpaceDE w:val="0"/>
        <w:autoSpaceDN w:val="0"/>
        <w:adjustRightInd w:val="0"/>
        <w:spacing w:line="480" w:lineRule="auto"/>
        <w:ind w:left="708"/>
        <w:jc w:val="both"/>
        <w:rPr>
          <w:rFonts w:ascii="Times New Roman" w:hAnsi="Times New Roman"/>
          <w:sz w:val="24"/>
          <w:szCs w:val="24"/>
          <w:lang w:val="en-GB"/>
        </w:rPr>
      </w:pPr>
      <w:r w:rsidRPr="004C49AF">
        <w:rPr>
          <w:rFonts w:ascii="Times New Roman" w:hAnsi="Times New Roman"/>
          <w:sz w:val="24"/>
          <w:szCs w:val="24"/>
          <w:lang w:val="en-GB"/>
        </w:rPr>
        <w:t xml:space="preserve"> “Education is the driving force that promotes the wellbeing of a country; the educational level of its citizens determines its ability to compete successfully on an international level (...) Improving the level of education of our citizens means opening the doors to highly skilled jobs, representing a commitment to economic growth and a better future” </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According to the educational sector and protest groups, this definition of education, “is mercantilist, as it understands [education] as dependent on economic processes</w:t>
      </w:r>
      <w:r w:rsidRPr="004C49AF">
        <w:rPr>
          <w:rFonts w:ascii="Times New Roman" w:hAnsi="Times New Roman"/>
          <w:sz w:val="24"/>
          <w:szCs w:val="24"/>
        </w:rPr>
        <w:t>”</w:t>
      </w:r>
      <w:r w:rsidRPr="004C49AF">
        <w:rPr>
          <w:rFonts w:ascii="Times New Roman" w:hAnsi="Times New Roman"/>
          <w:sz w:val="24"/>
          <w:szCs w:val="24"/>
          <w:lang w:val="en-GB"/>
        </w:rPr>
        <w:t xml:space="preserve"> (</w:t>
      </w:r>
      <w:r w:rsidRPr="004C49AF">
        <w:rPr>
          <w:rFonts w:ascii="Times New Roman" w:hAnsi="Times New Roman"/>
          <w:i/>
          <w:sz w:val="24"/>
          <w:szCs w:val="24"/>
          <w:lang w:val="en-GB"/>
        </w:rPr>
        <w:t>Soy Pública</w:t>
      </w:r>
      <w:r w:rsidRPr="004C49AF">
        <w:rPr>
          <w:rFonts w:ascii="Times New Roman" w:hAnsi="Times New Roman"/>
          <w:sz w:val="24"/>
          <w:szCs w:val="24"/>
          <w:lang w:val="en-GB"/>
        </w:rPr>
        <w:t>, 2012</w:t>
      </w:r>
      <w:r w:rsidRPr="004C49AF">
        <w:rPr>
          <w:rFonts w:ascii="Times New Roman" w:hAnsi="Times New Roman"/>
          <w:vertAlign w:val="superscript"/>
          <w:lang w:val="en-GB"/>
        </w:rPr>
        <w:footnoteReference w:id="16"/>
      </w:r>
      <w:r w:rsidRPr="004C49AF">
        <w:rPr>
          <w:rFonts w:ascii="Times New Roman" w:hAnsi="Times New Roman"/>
          <w:sz w:val="24"/>
          <w:szCs w:val="24"/>
          <w:lang w:val="en-GB"/>
        </w:rPr>
        <w:t>), with a focus on results in a way which means it “places the needs of the markets over the entire education of our children, and the building of a fairer and more cohesive society</w:t>
      </w:r>
      <w:r w:rsidRPr="004C49AF">
        <w:rPr>
          <w:rFonts w:ascii="Times New Roman" w:hAnsi="Times New Roman"/>
          <w:sz w:val="24"/>
          <w:szCs w:val="24"/>
        </w:rPr>
        <w:t>”</w:t>
      </w:r>
      <w:r w:rsidRPr="004C49AF">
        <w:rPr>
          <w:rFonts w:ascii="Times New Roman" w:hAnsi="Times New Roman"/>
          <w:sz w:val="24"/>
          <w:szCs w:val="24"/>
          <w:lang w:val="en-GB"/>
        </w:rPr>
        <w:t xml:space="preserve"> (</w:t>
      </w:r>
      <w:r w:rsidRPr="004C49AF">
        <w:rPr>
          <w:rFonts w:ascii="Times New Roman" w:hAnsi="Times New Roman"/>
          <w:i/>
          <w:sz w:val="24"/>
          <w:szCs w:val="24"/>
          <w:lang w:val="en-GB"/>
        </w:rPr>
        <w:t>Stop Ley Wert</w:t>
      </w:r>
      <w:r w:rsidRPr="004C49AF">
        <w:rPr>
          <w:rFonts w:ascii="Times New Roman" w:hAnsi="Times New Roman"/>
          <w:sz w:val="24"/>
          <w:szCs w:val="24"/>
          <w:lang w:val="en-GB"/>
        </w:rPr>
        <w:t>, Stop Wert's Law, 2012</w:t>
      </w:r>
      <w:r w:rsidRPr="004C49AF">
        <w:rPr>
          <w:rFonts w:ascii="Times New Roman" w:hAnsi="Times New Roman"/>
          <w:sz w:val="24"/>
          <w:szCs w:val="24"/>
          <w:vertAlign w:val="superscript"/>
          <w:lang w:val="en-GB"/>
        </w:rPr>
        <w:footnoteReference w:id="17"/>
      </w:r>
      <w:r w:rsidRPr="004C49AF">
        <w:rPr>
          <w:rFonts w:ascii="Times New Roman" w:hAnsi="Times New Roman"/>
          <w:sz w:val="24"/>
          <w:szCs w:val="24"/>
          <w:lang w:val="en-GB"/>
        </w:rPr>
        <w:t>).</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In contrast, the preamble of the current LOE (approved under the previous government in 2006) states:</w:t>
      </w:r>
    </w:p>
    <w:p w:rsidR="00A76A79" w:rsidRPr="004C49AF" w:rsidRDefault="00A76A79" w:rsidP="00A76A79">
      <w:pPr>
        <w:autoSpaceDE w:val="0"/>
        <w:autoSpaceDN w:val="0"/>
        <w:adjustRightInd w:val="0"/>
        <w:spacing w:line="480" w:lineRule="auto"/>
        <w:ind w:left="708"/>
        <w:jc w:val="both"/>
        <w:rPr>
          <w:rFonts w:ascii="Times New Roman" w:hAnsi="Times New Roman"/>
          <w:sz w:val="24"/>
          <w:szCs w:val="24"/>
          <w:lang w:val="en-GB"/>
        </w:rPr>
      </w:pPr>
      <w:r w:rsidRPr="004C49AF">
        <w:rPr>
          <w:rFonts w:ascii="Times New Roman" w:hAnsi="Times New Roman"/>
          <w:sz w:val="24"/>
          <w:szCs w:val="24"/>
          <w:lang w:val="en-GB"/>
        </w:rPr>
        <w:t xml:space="preserve"> “[...] Education is the means of transmitting and at the same time, renewing culture and the wealth of knowledge and values ​​that underpin it, of extracting the maximum </w:t>
      </w:r>
      <w:r w:rsidRPr="004C49AF">
        <w:rPr>
          <w:rFonts w:ascii="Times New Roman" w:hAnsi="Times New Roman"/>
          <w:sz w:val="24"/>
          <w:szCs w:val="24"/>
          <w:lang w:val="en-GB"/>
        </w:rPr>
        <w:lastRenderedPageBreak/>
        <w:t>potential from their sources of wealth, of fostering a democratic society and respect for individual differences, of promoting solidarity and avoiding discrimination, with the ultimate goal of achieving the necessary social cohesion. Moreover, education is the best means of guaranteeing the operation of a democratic, responsible, free and critical citizenship, which is indispensable for the creation of advanced, dynamic and just societies” (LOE, 2006).</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Even though the LOMCE also states that: “In the individual sphere [education] means facilitating personal development and social integration [...] learning in school should be directed at training individuals to be autonomous, critical, and able to think for themselves</w:t>
      </w:r>
      <w:r w:rsidRPr="004C49AF">
        <w:rPr>
          <w:rFonts w:ascii="Times New Roman" w:hAnsi="Times New Roman"/>
          <w:sz w:val="24"/>
          <w:szCs w:val="24"/>
        </w:rPr>
        <w:t>”</w:t>
      </w:r>
      <w:r w:rsidRPr="004C49AF">
        <w:rPr>
          <w:rFonts w:ascii="Times New Roman" w:hAnsi="Times New Roman"/>
          <w:sz w:val="24"/>
          <w:szCs w:val="24"/>
          <w:lang w:val="en-GB"/>
        </w:rPr>
        <w:t xml:space="preserve"> the spirit of the reform focuses on training and the development of skills to train skilled, occupationally competitive workers, very much in line with the guidelines of the European Commission (2012)</w:t>
      </w:r>
      <w:r w:rsidRPr="004C49AF">
        <w:rPr>
          <w:rStyle w:val="Refdenotaalpie"/>
          <w:rFonts w:ascii="Times New Roman" w:hAnsi="Times New Roman"/>
          <w:sz w:val="24"/>
          <w:szCs w:val="24"/>
          <w:lang w:val="en-GB"/>
        </w:rPr>
        <w:t xml:space="preserve"> </w:t>
      </w:r>
      <w:r w:rsidRPr="004C49AF">
        <w:rPr>
          <w:rStyle w:val="Refdenotaalpie"/>
          <w:rFonts w:ascii="Times New Roman" w:hAnsi="Times New Roman"/>
          <w:sz w:val="24"/>
          <w:szCs w:val="24"/>
          <w:lang w:val="en-GB"/>
        </w:rPr>
        <w:footnoteReference w:id="18"/>
      </w:r>
      <w:r w:rsidRPr="004C49AF">
        <w:rPr>
          <w:rFonts w:ascii="Times New Roman" w:hAnsi="Times New Roman"/>
          <w:sz w:val="24"/>
          <w:szCs w:val="24"/>
          <w:lang w:val="en-GB"/>
        </w:rPr>
        <w:t xml:space="preserve">. </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As for the streamlining of the educational curriculum, by emphasising fundamental subjects, the current education act sees the disappearance of subjects such as music, visual and plastic arts and art education as compulsory, for both primary and secondary schooling. In relation to this, the Council of State, the supreme advisory body of the Government of Spain, ruled that: “it would be advisable, even when these subjects are made optional, that it remain mandatory for education authorities to provide this option</w:t>
      </w:r>
      <w:r w:rsidRPr="004C49AF">
        <w:rPr>
          <w:rFonts w:ascii="Times New Roman" w:hAnsi="Times New Roman"/>
          <w:sz w:val="24"/>
          <w:szCs w:val="24"/>
        </w:rPr>
        <w:t>”</w:t>
      </w:r>
      <w:r w:rsidRPr="004C49AF">
        <w:rPr>
          <w:rFonts w:ascii="Times New Roman" w:hAnsi="Times New Roman"/>
          <w:sz w:val="24"/>
          <w:szCs w:val="24"/>
          <w:lang w:val="en-GB"/>
        </w:rPr>
        <w:t>.</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One of the most controversial aspects of the new law has been the removal of the controversial subject “Education for Citizenship and Human Rights</w:t>
      </w:r>
      <w:r w:rsidRPr="004C49AF">
        <w:rPr>
          <w:rFonts w:ascii="Times New Roman" w:hAnsi="Times New Roman"/>
          <w:sz w:val="24"/>
          <w:szCs w:val="24"/>
        </w:rPr>
        <w:t>”</w:t>
      </w:r>
      <w:r w:rsidRPr="004C49AF">
        <w:rPr>
          <w:rFonts w:ascii="Times New Roman" w:hAnsi="Times New Roman"/>
          <w:sz w:val="24"/>
          <w:szCs w:val="24"/>
          <w:lang w:val="en-GB"/>
        </w:rPr>
        <w:t xml:space="preserve">, whose elimination was demanded by conservative and Catholic associations and groups of parents and teachers, </w:t>
      </w:r>
      <w:r w:rsidRPr="004C49AF">
        <w:rPr>
          <w:rFonts w:ascii="Times New Roman" w:hAnsi="Times New Roman"/>
          <w:sz w:val="24"/>
          <w:szCs w:val="24"/>
          <w:lang w:val="en-GB"/>
        </w:rPr>
        <w:lastRenderedPageBreak/>
        <w:t>since, according to the Minister of Education himself, it “indoctrinated</w:t>
      </w:r>
      <w:r w:rsidRPr="004C49AF">
        <w:rPr>
          <w:rFonts w:ascii="Times New Roman" w:hAnsi="Times New Roman"/>
          <w:sz w:val="24"/>
          <w:szCs w:val="24"/>
        </w:rPr>
        <w:t>”</w:t>
      </w:r>
      <w:r w:rsidRPr="004C49AF">
        <w:rPr>
          <w:rFonts w:ascii="Times New Roman" w:hAnsi="Times New Roman"/>
          <w:sz w:val="24"/>
          <w:szCs w:val="24"/>
          <w:lang w:val="en-GB"/>
        </w:rPr>
        <w:t xml:space="preserve"> and dealt with “controversial issues</w:t>
      </w:r>
      <w:r w:rsidRPr="004C49AF">
        <w:rPr>
          <w:rFonts w:ascii="Times New Roman" w:hAnsi="Times New Roman"/>
          <w:sz w:val="24"/>
          <w:szCs w:val="24"/>
        </w:rPr>
        <w:t>”.</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This supposed “indoctrination</w:t>
      </w:r>
      <w:r w:rsidRPr="004C49AF">
        <w:rPr>
          <w:rFonts w:ascii="Times New Roman" w:hAnsi="Times New Roman"/>
          <w:sz w:val="24"/>
          <w:szCs w:val="24"/>
        </w:rPr>
        <w:t>”</w:t>
      </w:r>
      <w:r w:rsidRPr="004C49AF">
        <w:rPr>
          <w:rFonts w:ascii="Times New Roman" w:hAnsi="Times New Roman"/>
          <w:sz w:val="24"/>
          <w:szCs w:val="24"/>
          <w:lang w:val="en-GB"/>
        </w:rPr>
        <w:t xml:space="preserve"> has been challenged by a recent judgment of the Supreme Court</w:t>
      </w:r>
      <w:r w:rsidRPr="004C49AF">
        <w:rPr>
          <w:rFonts w:ascii="Times New Roman" w:hAnsi="Times New Roman"/>
          <w:sz w:val="24"/>
          <w:szCs w:val="24"/>
          <w:vertAlign w:val="superscript"/>
          <w:lang w:val="en-GB"/>
        </w:rPr>
        <w:footnoteReference w:id="19"/>
      </w:r>
      <w:r w:rsidRPr="004C49AF">
        <w:rPr>
          <w:rFonts w:ascii="Times New Roman" w:hAnsi="Times New Roman"/>
          <w:sz w:val="24"/>
          <w:szCs w:val="24"/>
          <w:lang w:val="en-GB"/>
        </w:rPr>
        <w:t>, which states that “its content is not a harmful indoctrination of fundamental rights, nor does it infringe on ideological or religious freedom, nor the rights of parents that their children receive religious and moral education according to their convictions.</w:t>
      </w:r>
      <w:r w:rsidRPr="004C49AF">
        <w:rPr>
          <w:rFonts w:ascii="Times New Roman" w:hAnsi="Times New Roman"/>
          <w:sz w:val="24"/>
          <w:szCs w:val="24"/>
        </w:rPr>
        <w:t>”</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For its part, since 1997 the Council of Europe has been promoting and recommending that EU countries include Education for Democratic Citizenship and Human Rights in their education policies. In particular, the Council of Europe Charter on Education for Democratic Citizenship and Human Rights Education notes that “education for democratic citizenship [...] should be a priority in the reform and implementation of educational policies”</w:t>
      </w:r>
      <w:r w:rsidRPr="004C49AF">
        <w:rPr>
          <w:rStyle w:val="Refdenotaalpie"/>
          <w:rFonts w:ascii="Times New Roman" w:hAnsi="Times New Roman"/>
          <w:sz w:val="24"/>
          <w:szCs w:val="24"/>
          <w:lang w:val="en-GB"/>
        </w:rPr>
        <w:footnoteReference w:id="20"/>
      </w:r>
      <w:r w:rsidRPr="004C49AF">
        <w:rPr>
          <w:rFonts w:ascii="Times New Roman" w:hAnsi="Times New Roman"/>
          <w:sz w:val="24"/>
          <w:szCs w:val="24"/>
          <w:lang w:val="en-GB"/>
        </w:rPr>
        <w:t xml:space="preserve"> and be included “in formal education programs at infant, primary and secondary levels of education, as well as in general education and training</w:t>
      </w:r>
      <w:r w:rsidRPr="004C49AF">
        <w:rPr>
          <w:rFonts w:ascii="Times New Roman" w:hAnsi="Times New Roman"/>
          <w:sz w:val="24"/>
          <w:szCs w:val="24"/>
        </w:rPr>
        <w:t>”</w:t>
      </w:r>
      <w:r w:rsidRPr="004C49AF">
        <w:rPr>
          <w:rFonts w:ascii="Times New Roman" w:hAnsi="Times New Roman"/>
          <w:sz w:val="24"/>
          <w:szCs w:val="24"/>
          <w:lang w:val="en-GB"/>
        </w:rPr>
        <w:t xml:space="preserve"> (Council of Europe, 2010</w:t>
      </w:r>
      <w:r w:rsidRPr="004C49AF">
        <w:rPr>
          <w:rFonts w:ascii="Times New Roman" w:hAnsi="Times New Roman"/>
          <w:sz w:val="24"/>
          <w:szCs w:val="24"/>
          <w:lang w:val="en-GB" w:eastAsia="es-ES"/>
        </w:rPr>
        <w:t>)</w:t>
      </w:r>
      <w:r w:rsidRPr="004C49AF">
        <w:rPr>
          <w:rStyle w:val="Refdenotaalpie"/>
          <w:rFonts w:ascii="Times New Roman" w:hAnsi="Times New Roman"/>
          <w:sz w:val="24"/>
          <w:szCs w:val="24"/>
          <w:lang w:val="en-GB" w:eastAsia="es-ES"/>
        </w:rPr>
        <w:footnoteReference w:id="21"/>
      </w:r>
      <w:r w:rsidRPr="004C49AF">
        <w:rPr>
          <w:rFonts w:ascii="Times New Roman" w:hAnsi="Times New Roman"/>
          <w:sz w:val="24"/>
          <w:szCs w:val="24"/>
          <w:lang w:val="en-GB" w:eastAsia="es-ES"/>
        </w:rPr>
        <w:t>.</w:t>
      </w:r>
      <w:r w:rsidRPr="004C49AF">
        <w:rPr>
          <w:rFonts w:ascii="Times New Roman" w:hAnsi="Times New Roman"/>
          <w:sz w:val="24"/>
          <w:szCs w:val="24"/>
          <w:lang w:val="en-GB"/>
        </w:rPr>
        <w:t xml:space="preserve"> Given that Spain has signed these recommendations, the State Council</w:t>
      </w:r>
      <w:r w:rsidRPr="004C49AF">
        <w:rPr>
          <w:rStyle w:val="Refdenotaalpie"/>
          <w:rFonts w:ascii="Times New Roman" w:hAnsi="Times New Roman"/>
          <w:sz w:val="24"/>
          <w:szCs w:val="24"/>
          <w:lang w:val="en-GB" w:eastAsia="es-ES"/>
        </w:rPr>
        <w:footnoteReference w:id="22"/>
      </w:r>
      <w:r w:rsidRPr="004C49AF">
        <w:rPr>
          <w:rFonts w:ascii="Times New Roman" w:hAnsi="Times New Roman"/>
          <w:sz w:val="24"/>
          <w:szCs w:val="24"/>
          <w:lang w:val="en-GB"/>
        </w:rPr>
        <w:t xml:space="preserve"> proposes to: “proceed to impose them as mandatory [on the curriculum] at some time</w:t>
      </w:r>
      <w:r w:rsidRPr="004C49AF">
        <w:rPr>
          <w:rFonts w:ascii="Times New Roman" w:hAnsi="Times New Roman"/>
          <w:sz w:val="24"/>
          <w:szCs w:val="24"/>
        </w:rPr>
        <w:t>”.</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 xml:space="preserve">The same view has been expressed by the European Commissioner for Human Rights, Nils </w:t>
      </w:r>
      <w:r w:rsidRPr="004C49AF">
        <w:rPr>
          <w:rFonts w:ascii="Times New Roman" w:hAnsi="Times New Roman"/>
          <w:sz w:val="24"/>
          <w:szCs w:val="24"/>
          <w:lang w:val="en-GB" w:eastAsia="es-ES"/>
        </w:rPr>
        <w:t>Muiznieks</w:t>
      </w:r>
      <w:r w:rsidRPr="004C49AF">
        <w:rPr>
          <w:rStyle w:val="Refdenotaalpie"/>
          <w:rFonts w:ascii="Times New Roman" w:hAnsi="Times New Roman"/>
          <w:sz w:val="24"/>
          <w:szCs w:val="24"/>
          <w:lang w:val="en-GB" w:eastAsia="es-ES"/>
        </w:rPr>
        <w:footnoteReference w:id="23"/>
      </w:r>
      <w:r w:rsidRPr="004C49AF">
        <w:rPr>
          <w:rFonts w:ascii="Times New Roman" w:hAnsi="Times New Roman"/>
          <w:sz w:val="24"/>
          <w:szCs w:val="24"/>
          <w:lang w:val="en-GB"/>
        </w:rPr>
        <w:t>, who criticised the elimination of this subject as, in his opinion, “there are no reliable reports or analyses that consider that Citizenship Education is politicised”, as political associations and groups argue.</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lastRenderedPageBreak/>
        <w:t>Despite all this, it appears that this subject will indeed be eliminated. In its place will be the subjects of “</w:t>
      </w:r>
      <w:r w:rsidRPr="004C49AF">
        <w:rPr>
          <w:rFonts w:ascii="Times New Roman" w:hAnsi="Times New Roman"/>
          <w:i/>
          <w:sz w:val="24"/>
          <w:szCs w:val="24"/>
          <w:lang w:val="en-GB"/>
        </w:rPr>
        <w:t>Social and Civic Values</w:t>
      </w:r>
      <w:r w:rsidRPr="004C49AF">
        <w:rPr>
          <w:rFonts w:ascii="Times New Roman" w:hAnsi="Times New Roman"/>
          <w:sz w:val="24"/>
          <w:szCs w:val="24"/>
          <w:lang w:val="en-GB"/>
        </w:rPr>
        <w:t>”, for primary education, and “</w:t>
      </w:r>
      <w:r w:rsidRPr="004C49AF">
        <w:rPr>
          <w:rFonts w:ascii="Times New Roman" w:hAnsi="Times New Roman"/>
          <w:i/>
          <w:sz w:val="24"/>
          <w:szCs w:val="24"/>
          <w:lang w:val="en-GB"/>
        </w:rPr>
        <w:t>Ethical Values</w:t>
      </w:r>
      <w:r w:rsidRPr="004C49AF">
        <w:rPr>
          <w:rFonts w:ascii="Times New Roman" w:hAnsi="Times New Roman"/>
          <w:sz w:val="24"/>
          <w:szCs w:val="24"/>
          <w:lang w:val="en-GB"/>
        </w:rPr>
        <w:t>”, for secondary education, as alternatives to “</w:t>
      </w:r>
      <w:r w:rsidRPr="004C49AF">
        <w:rPr>
          <w:rFonts w:ascii="Times New Roman" w:hAnsi="Times New Roman"/>
          <w:i/>
          <w:sz w:val="24"/>
          <w:szCs w:val="24"/>
          <w:lang w:val="en-GB"/>
        </w:rPr>
        <w:t>Religion</w:t>
      </w:r>
      <w:r w:rsidRPr="004C49AF">
        <w:rPr>
          <w:rFonts w:ascii="Times New Roman" w:hAnsi="Times New Roman"/>
          <w:sz w:val="24"/>
          <w:szCs w:val="24"/>
          <w:lang w:val="en-GB"/>
        </w:rPr>
        <w:t>”, which under this law will remain a part of both curriculums, mandatorily offered by centres and a voluntary option for students.</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For the State Council</w:t>
      </w:r>
      <w:r w:rsidRPr="004C49AF">
        <w:rPr>
          <w:rStyle w:val="Refdenotaalpie"/>
          <w:rFonts w:ascii="Times New Roman" w:hAnsi="Times New Roman"/>
          <w:sz w:val="24"/>
          <w:szCs w:val="24"/>
          <w:lang w:val="en-GB" w:eastAsia="es-ES"/>
        </w:rPr>
        <w:footnoteReference w:id="24"/>
      </w:r>
      <w:r w:rsidRPr="004C49AF">
        <w:rPr>
          <w:rFonts w:ascii="Times New Roman" w:hAnsi="Times New Roman"/>
          <w:sz w:val="24"/>
          <w:szCs w:val="24"/>
          <w:lang w:val="en-GB"/>
        </w:rPr>
        <w:t xml:space="preserve"> “the change in the model of religious education emerges on the occasion of regulating the various educational stages, the organisation of which represents a step backwards from the current situation. It is given more importance, [the subject of religion] given a timetable similar to other subjects in primary and secondary education, where it is set as a specific fixed subject with an alternative option.”</w:t>
      </w:r>
    </w:p>
    <w:p w:rsidR="00A76A79" w:rsidRPr="009965D1" w:rsidRDefault="00CF7563" w:rsidP="00A76A79">
      <w:pPr>
        <w:shd w:val="clear" w:color="auto" w:fill="FFFFFF"/>
        <w:spacing w:line="480" w:lineRule="auto"/>
        <w:ind w:left="720"/>
        <w:jc w:val="both"/>
        <w:textAlignment w:val="baseline"/>
        <w:rPr>
          <w:rFonts w:ascii="Times New Roman" w:hAnsi="Times New Roman"/>
          <w:b/>
          <w:sz w:val="24"/>
          <w:szCs w:val="24"/>
          <w:lang w:val="en-GB"/>
        </w:rPr>
      </w:pPr>
      <w:r w:rsidRPr="009965D1">
        <w:rPr>
          <w:rFonts w:ascii="Times New Roman" w:hAnsi="Times New Roman"/>
          <w:b/>
          <w:sz w:val="24"/>
          <w:szCs w:val="24"/>
          <w:lang w:val="en-GB"/>
        </w:rPr>
        <w:t>4</w:t>
      </w:r>
      <w:r w:rsidR="00A76A79" w:rsidRPr="009965D1">
        <w:rPr>
          <w:rFonts w:ascii="Times New Roman" w:hAnsi="Times New Roman"/>
          <w:b/>
          <w:sz w:val="24"/>
          <w:szCs w:val="24"/>
          <w:lang w:val="en-GB"/>
        </w:rPr>
        <w:t xml:space="preserve">. Scrutinising Spanish educational policies using the capability approach. </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 xml:space="preserve">In the preceding pages we have described the type of educational policies that are being implemented in the Spanish system and the strong social response that most of them are receiving from a wide variety of sectors. In this section we examine these </w:t>
      </w:r>
      <w:r w:rsidRPr="009965D1">
        <w:rPr>
          <w:rFonts w:ascii="Times New Roman" w:hAnsi="Times New Roman"/>
          <w:sz w:val="24"/>
          <w:szCs w:val="24"/>
          <w:lang w:val="en-GB"/>
        </w:rPr>
        <w:t xml:space="preserve">measures </w:t>
      </w:r>
      <w:r w:rsidR="00A333FF" w:rsidRPr="009965D1">
        <w:rPr>
          <w:rFonts w:ascii="Times New Roman" w:hAnsi="Times New Roman"/>
          <w:sz w:val="24"/>
          <w:szCs w:val="24"/>
          <w:lang w:val="en-GB"/>
        </w:rPr>
        <w:t xml:space="preserve">using </w:t>
      </w:r>
      <w:r w:rsidRPr="009965D1">
        <w:rPr>
          <w:rFonts w:ascii="Times New Roman" w:hAnsi="Times New Roman"/>
          <w:sz w:val="24"/>
          <w:szCs w:val="24"/>
          <w:lang w:val="en-GB"/>
        </w:rPr>
        <w:t>CA</w:t>
      </w:r>
      <w:r w:rsidR="00A333FF" w:rsidRPr="009965D1">
        <w:rPr>
          <w:rFonts w:ascii="Times New Roman" w:hAnsi="Times New Roman"/>
          <w:sz w:val="24"/>
          <w:szCs w:val="24"/>
          <w:lang w:val="en-GB"/>
        </w:rPr>
        <w:t xml:space="preserve"> as a key to understanding the chain of events in Spain. I</w:t>
      </w:r>
      <w:r w:rsidRPr="009965D1">
        <w:rPr>
          <w:rFonts w:ascii="Times New Roman" w:hAnsi="Times New Roman"/>
          <w:sz w:val="24"/>
          <w:szCs w:val="24"/>
          <w:lang w:val="en-GB"/>
        </w:rPr>
        <w:t>n order to do so we return to</w:t>
      </w:r>
      <w:r w:rsidRPr="004C49AF">
        <w:rPr>
          <w:rFonts w:ascii="Times New Roman" w:hAnsi="Times New Roman"/>
          <w:sz w:val="24"/>
          <w:szCs w:val="24"/>
          <w:lang w:val="en-GB"/>
        </w:rPr>
        <w:t xml:space="preserve"> what was set forth in sections 2 and 3. Firstly, we will look at the distributional aspect of education and the values ​​of contents of CA. Following that, we will refer to the idea of ​​citizenship defended in CA as a means of analysing educational policy.</w:t>
      </w:r>
    </w:p>
    <w:p w:rsidR="00A76A79" w:rsidRPr="004C49AF" w:rsidRDefault="00CF7563" w:rsidP="00A76A79">
      <w:pPr>
        <w:shd w:val="clear" w:color="auto" w:fill="FFFFFF"/>
        <w:spacing w:line="480" w:lineRule="auto"/>
        <w:ind w:firstLine="720"/>
        <w:jc w:val="both"/>
        <w:textAlignment w:val="baseline"/>
        <w:rPr>
          <w:rFonts w:ascii="Times New Roman" w:hAnsi="Times New Roman"/>
          <w:i/>
          <w:sz w:val="24"/>
          <w:szCs w:val="24"/>
          <w:lang w:val="en-GB"/>
        </w:rPr>
      </w:pPr>
      <w:r w:rsidRPr="004C49AF">
        <w:rPr>
          <w:rFonts w:ascii="Times New Roman" w:hAnsi="Times New Roman"/>
          <w:i/>
          <w:sz w:val="24"/>
          <w:szCs w:val="24"/>
          <w:lang w:val="en-GB"/>
        </w:rPr>
        <w:t xml:space="preserve">4.1. </w:t>
      </w:r>
      <w:r w:rsidR="00A76A79" w:rsidRPr="004C49AF">
        <w:rPr>
          <w:rFonts w:ascii="Times New Roman" w:hAnsi="Times New Roman"/>
          <w:i/>
          <w:sz w:val="24"/>
          <w:szCs w:val="24"/>
          <w:lang w:val="en-GB"/>
        </w:rPr>
        <w:t>When inequalities and public deliberation are not in the educational agenda</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 xml:space="preserve">One of the major characteristics that defines CA is its sensitivity and concern for diversity. People are different due to multiple factors: from their personal characteristics, their family histories and the social context in which they have grown and live. Diversity is good </w:t>
      </w:r>
      <w:r w:rsidRPr="004C49AF">
        <w:rPr>
          <w:rFonts w:ascii="Times New Roman" w:hAnsi="Times New Roman"/>
          <w:i/>
          <w:sz w:val="24"/>
          <w:szCs w:val="24"/>
          <w:lang w:val="en-GB"/>
        </w:rPr>
        <w:t>per se</w:t>
      </w:r>
      <w:r w:rsidRPr="004C49AF">
        <w:rPr>
          <w:rFonts w:ascii="Times New Roman" w:hAnsi="Times New Roman"/>
          <w:sz w:val="24"/>
          <w:szCs w:val="24"/>
          <w:lang w:val="en-GB"/>
        </w:rPr>
        <w:t xml:space="preserve"> but may also limit people's choices. There may be cases in which people are at a disadvantage </w:t>
      </w:r>
      <w:r w:rsidRPr="004C49AF">
        <w:rPr>
          <w:rFonts w:ascii="Times New Roman" w:hAnsi="Times New Roman"/>
          <w:sz w:val="24"/>
          <w:szCs w:val="24"/>
          <w:lang w:val="en-GB"/>
        </w:rPr>
        <w:lastRenderedPageBreak/>
        <w:t>owing to a variety of social and personal factors, and these disadvantages can become “corrosive” where disadvantage in one specific field leads to an accumulation of disadvantages (Bonvin, 2013).</w:t>
      </w:r>
    </w:p>
    <w:p w:rsidR="00A76A79" w:rsidRPr="004C49AF" w:rsidRDefault="005711C6"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We argue that t</w:t>
      </w:r>
      <w:r w:rsidR="00A76A79" w:rsidRPr="004C49AF">
        <w:rPr>
          <w:rFonts w:ascii="Times New Roman" w:hAnsi="Times New Roman"/>
          <w:sz w:val="24"/>
          <w:szCs w:val="24"/>
          <w:lang w:val="en-GB"/>
        </w:rPr>
        <w:t xml:space="preserve">he measures being proposed in the Spanish context </w:t>
      </w:r>
      <w:r w:rsidRPr="004C49AF">
        <w:rPr>
          <w:rFonts w:ascii="Times New Roman" w:hAnsi="Times New Roman"/>
          <w:sz w:val="24"/>
          <w:szCs w:val="24"/>
          <w:lang w:val="en-GB"/>
        </w:rPr>
        <w:t xml:space="preserve">ignore this aspect. </w:t>
      </w:r>
      <w:r w:rsidR="00A76A79" w:rsidRPr="004C49AF">
        <w:rPr>
          <w:rFonts w:ascii="Times New Roman" w:hAnsi="Times New Roman"/>
          <w:sz w:val="24"/>
          <w:szCs w:val="24"/>
          <w:lang w:val="en-GB"/>
        </w:rPr>
        <w:t>The main criterion is academic performance, in order to obtain a grant, to be able to access a good school and university. Moreover, if the conditions of state schools (to which the most disadvantaged students normally have access) deteriorate, it is expected that the people who have most difficulty following the course will abandon their studies. This is especially egregious since, according to the latest results released by EUROSTAT</w:t>
      </w:r>
      <w:r w:rsidR="00A76A79" w:rsidRPr="004C49AF">
        <w:rPr>
          <w:rStyle w:val="Refdenotaalpie"/>
          <w:rFonts w:ascii="Times New Roman" w:hAnsi="Times New Roman"/>
          <w:sz w:val="24"/>
          <w:szCs w:val="24"/>
          <w:lang w:val="en-GB"/>
        </w:rPr>
        <w:footnoteReference w:id="25"/>
      </w:r>
      <w:r w:rsidR="00A76A79" w:rsidRPr="004C49AF">
        <w:rPr>
          <w:rFonts w:ascii="Times New Roman" w:hAnsi="Times New Roman"/>
          <w:sz w:val="24"/>
          <w:szCs w:val="24"/>
          <w:lang w:val="en-GB"/>
        </w:rPr>
        <w:t>, Spain leads EU figures for dropout rates (not finishing compulsory education) with a rate of 24.9% in 2012, a rate that is declining, yet still very far from the current European average (12.8%) and the 10% target set for 2020.</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 xml:space="preserve">The statement from of the Minister of Education, claiming that the changes will not lessen the quality of the system, as Spanish education “is not a problem of resources”, </w:t>
      </w:r>
      <w:r w:rsidR="005711C6" w:rsidRPr="004C49AF">
        <w:rPr>
          <w:rFonts w:ascii="Times New Roman" w:hAnsi="Times New Roman"/>
          <w:sz w:val="24"/>
          <w:szCs w:val="24"/>
          <w:lang w:val="en-GB"/>
        </w:rPr>
        <w:t xml:space="preserve">doesn’t consider </w:t>
      </w:r>
      <w:r w:rsidRPr="004C49AF">
        <w:rPr>
          <w:rFonts w:ascii="Times New Roman" w:hAnsi="Times New Roman"/>
          <w:sz w:val="24"/>
          <w:szCs w:val="24"/>
          <w:lang w:val="en-GB"/>
        </w:rPr>
        <w:t>that different learners need different resources and measures that expand their opportunities to have the life they have reason to value. As described in the previous section, there are many voices that are pointing out the tremendous inequality in educational measures (unions, teachers, civil groups, students, rectors, etc.). Only a small sector, aligned with private and religious education, approves the suitability of these measures. Unfortunately, the economic crisis is the perfect excuse for eliminating deliberation and public reasoning - the essence of democracy and fundamental pillars of CA.</w:t>
      </w:r>
    </w:p>
    <w:p w:rsidR="00A76A79" w:rsidRPr="004C49AF" w:rsidRDefault="00CF7563" w:rsidP="00A76A79">
      <w:pPr>
        <w:spacing w:line="480" w:lineRule="auto"/>
        <w:ind w:firstLine="720"/>
        <w:jc w:val="both"/>
        <w:rPr>
          <w:rFonts w:ascii="Times New Roman" w:hAnsi="Times New Roman"/>
          <w:i/>
          <w:sz w:val="24"/>
          <w:szCs w:val="24"/>
          <w:lang w:val="en-GB"/>
        </w:rPr>
      </w:pPr>
      <w:r w:rsidRPr="004C49AF">
        <w:rPr>
          <w:rFonts w:ascii="Times New Roman" w:hAnsi="Times New Roman"/>
          <w:i/>
          <w:sz w:val="24"/>
          <w:szCs w:val="24"/>
          <w:lang w:val="en-GB"/>
        </w:rPr>
        <w:t xml:space="preserve">4.2. </w:t>
      </w:r>
      <w:r w:rsidR="00A76A79" w:rsidRPr="004C49AF">
        <w:rPr>
          <w:rFonts w:ascii="Times New Roman" w:hAnsi="Times New Roman"/>
          <w:i/>
          <w:sz w:val="24"/>
          <w:szCs w:val="24"/>
          <w:lang w:val="en-GB"/>
        </w:rPr>
        <w:t xml:space="preserve">Restricting the beneficial effects of the capability to be educated </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lastRenderedPageBreak/>
        <w:t xml:space="preserve">The second question has to do with education as a multiplier of other capabilities. If access to education is limited, if you eliminate measures to support struggling students, young people's options for expanding their capabilities will be clearly reduced. This concerns access to the labour market, but also many other aspects of life that are related to education and that have to do with social and political participation, with leisure, with understanding, etc. As Sen (1992) notes, there are three ways in which education enhances freedom. First, education fulfils an </w:t>
      </w:r>
      <w:r w:rsidRPr="004C49AF">
        <w:rPr>
          <w:rFonts w:ascii="Times New Roman" w:hAnsi="Times New Roman"/>
          <w:i/>
          <w:sz w:val="24"/>
          <w:szCs w:val="24"/>
          <w:lang w:val="en-GB"/>
        </w:rPr>
        <w:t>instrumental social role.</w:t>
      </w:r>
      <w:r w:rsidRPr="004C49AF">
        <w:rPr>
          <w:rFonts w:ascii="Times New Roman" w:hAnsi="Times New Roman"/>
          <w:sz w:val="24"/>
          <w:szCs w:val="24"/>
          <w:lang w:val="en-GB"/>
        </w:rPr>
        <w:t xml:space="preserve"> Literacy can foster public debate and dialogue about social and political arrangements, for example. Education also has an </w:t>
      </w:r>
      <w:r w:rsidRPr="004C49AF">
        <w:rPr>
          <w:rFonts w:ascii="Times New Roman" w:hAnsi="Times New Roman"/>
          <w:i/>
          <w:sz w:val="24"/>
          <w:szCs w:val="24"/>
          <w:lang w:val="en-GB"/>
        </w:rPr>
        <w:t>instrumental process role</w:t>
      </w:r>
      <w:r w:rsidRPr="004C49AF">
        <w:rPr>
          <w:rFonts w:ascii="Times New Roman" w:hAnsi="Times New Roman"/>
          <w:sz w:val="24"/>
          <w:szCs w:val="24"/>
          <w:lang w:val="en-GB"/>
        </w:rPr>
        <w:t xml:space="preserve"> in facilitating our capacity to participate in decision-making processes at the household, community or national level. Finally, it has an </w:t>
      </w:r>
      <w:r w:rsidRPr="004C49AF">
        <w:rPr>
          <w:rFonts w:ascii="Times New Roman" w:hAnsi="Times New Roman"/>
          <w:i/>
          <w:sz w:val="24"/>
          <w:szCs w:val="24"/>
          <w:lang w:val="en-GB"/>
        </w:rPr>
        <w:t>empowering and distributive role</w:t>
      </w:r>
      <w:r w:rsidRPr="004C49AF">
        <w:rPr>
          <w:rFonts w:ascii="Times New Roman" w:hAnsi="Times New Roman"/>
          <w:sz w:val="24"/>
          <w:szCs w:val="24"/>
          <w:lang w:val="en-GB"/>
        </w:rPr>
        <w:t xml:space="preserve"> in facilitating the ability of disadvantaged, marginalised and excluded groups to organise politically. Therefore, hindering access to education for disadvantaged groups involves limiting their capability to participate on multiple levels and decreases their options to be agents of change. Once again, inequitable educational policies condemn people with fewer resources to be second or third degree citizens.</w:t>
      </w:r>
    </w:p>
    <w:p w:rsidR="00A76A79" w:rsidRPr="004C49AF" w:rsidRDefault="00CF7563" w:rsidP="00A76A79">
      <w:pPr>
        <w:autoSpaceDE w:val="0"/>
        <w:autoSpaceDN w:val="0"/>
        <w:adjustRightInd w:val="0"/>
        <w:spacing w:after="0" w:line="480" w:lineRule="auto"/>
        <w:ind w:firstLine="720"/>
        <w:jc w:val="both"/>
        <w:rPr>
          <w:rFonts w:ascii="Times New Roman" w:hAnsi="Times New Roman"/>
          <w:sz w:val="24"/>
          <w:szCs w:val="24"/>
          <w:lang w:val="en-GB"/>
        </w:rPr>
      </w:pPr>
      <w:r w:rsidRPr="004C49AF">
        <w:rPr>
          <w:rFonts w:ascii="Times New Roman" w:hAnsi="Times New Roman"/>
          <w:i/>
          <w:sz w:val="24"/>
          <w:szCs w:val="24"/>
          <w:lang w:val="en-GB"/>
        </w:rPr>
        <w:t xml:space="preserve">4.3. </w:t>
      </w:r>
      <w:r w:rsidR="00A76A79" w:rsidRPr="004C49AF">
        <w:rPr>
          <w:rFonts w:ascii="Times New Roman" w:hAnsi="Times New Roman"/>
          <w:i/>
          <w:sz w:val="24"/>
          <w:szCs w:val="24"/>
          <w:lang w:val="en-GB"/>
        </w:rPr>
        <w:t xml:space="preserve">Instrumental competences versus capabilities </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 xml:space="preserve">Another clear direction that the Spanish educational reform is taking is the focus on instrumental skills at the expense of other types of content and abilities. On another occasion we have referred in detail to the differences between capabilities and competences (Lozano et al, 2012) demonstrating that they are radically different concepts in meaning, origin and implications for education. We cannot enter into this discussion now, but it is important to stress that this educational reform is clearly in contrast to a curriculum inspired by CA. Subjects such as art, music, etc. will cease to be obligatory, in order to strengthen the emphasis on fundamental subjects. The subject of citizenship education is replaced by </w:t>
      </w:r>
      <w:r w:rsidRPr="004C49AF">
        <w:rPr>
          <w:rFonts w:ascii="Times New Roman" w:hAnsi="Times New Roman"/>
          <w:sz w:val="24"/>
          <w:szCs w:val="24"/>
          <w:lang w:val="en-GB"/>
        </w:rPr>
        <w:lastRenderedPageBreak/>
        <w:t>religion or civic and ethical values. We have no objections to the teaching of ethics in school, but removing the reference to citizenship from the curriculum (contrary to the proposals of the Council of Europe and the Council of State, as we have seen) in order to ensure that all students can opt to study religion or, if not to their liking, study ethics, seems to us a clear sign of a conservative step backwards, which go</w:t>
      </w:r>
      <w:r w:rsidR="005711C6" w:rsidRPr="004C49AF">
        <w:rPr>
          <w:rFonts w:ascii="Times New Roman" w:hAnsi="Times New Roman"/>
          <w:sz w:val="24"/>
          <w:szCs w:val="24"/>
          <w:lang w:val="en-GB"/>
        </w:rPr>
        <w:t xml:space="preserve">es far beyond economic cutbacks. </w:t>
      </w:r>
      <w:r w:rsidRPr="004C49AF">
        <w:rPr>
          <w:rFonts w:ascii="Times New Roman" w:hAnsi="Times New Roman"/>
          <w:sz w:val="24"/>
          <w:szCs w:val="24"/>
          <w:lang w:val="en-GB"/>
        </w:rPr>
        <w:t xml:space="preserve"> As we saw above, when analysing the pedagogical approaches that underpin CA (which are based on critical pedagogies) having knowledge and getting a critically-oriented education are crucial components in forming a good life plan with genuine choices (Walker, 2009). The citizenship education course, although it did not </w:t>
      </w:r>
      <w:r w:rsidRPr="004C49AF">
        <w:rPr>
          <w:rFonts w:ascii="Times New Roman" w:hAnsi="Times New Roman"/>
          <w:i/>
          <w:sz w:val="24"/>
          <w:szCs w:val="24"/>
          <w:lang w:val="en-GB"/>
        </w:rPr>
        <w:t>per se</w:t>
      </w:r>
      <w:r w:rsidRPr="004C49AF">
        <w:rPr>
          <w:rFonts w:ascii="Times New Roman" w:hAnsi="Times New Roman"/>
          <w:sz w:val="24"/>
          <w:szCs w:val="24"/>
          <w:lang w:val="en-GB"/>
        </w:rPr>
        <w:t xml:space="preserve"> guarantee the acquisition of critical thinking, was an important step in this direction.</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What to say, therefore, of the values ​​that underlie current educational policies? If we mentioned before that the core values ​​of human development were equity, participation and empowerment and sustainability, to which must be added the many references we have made to the promotion of diversity, we can reasonably argue that current educational policies are the polar opposite of a pro-human development policy. The educational policies proposed by Minister Wert seem solely set on competitiveness, excellence, academic achievement, and certain Catholic values. Although the focus of human development and CA is not opposed to economic growth and productivity as central elements of development (UNDP, 1990), it understands them in relation to other values. There can be no growth without equity, without sustainability, without participation and diversity. These precepts in no way inspire the current educational policies.</w:t>
      </w:r>
    </w:p>
    <w:p w:rsidR="00A76A79" w:rsidRPr="004C49AF" w:rsidRDefault="00CF7563" w:rsidP="00A76A79">
      <w:pPr>
        <w:autoSpaceDE w:val="0"/>
        <w:autoSpaceDN w:val="0"/>
        <w:adjustRightInd w:val="0"/>
        <w:spacing w:after="0" w:line="480" w:lineRule="auto"/>
        <w:ind w:firstLine="720"/>
        <w:jc w:val="both"/>
        <w:rPr>
          <w:rFonts w:ascii="Times New Roman" w:hAnsi="Times New Roman"/>
          <w:i/>
          <w:sz w:val="24"/>
          <w:szCs w:val="24"/>
          <w:lang w:val="en-GB"/>
        </w:rPr>
      </w:pPr>
      <w:r w:rsidRPr="004C49AF">
        <w:rPr>
          <w:rFonts w:ascii="Times New Roman" w:hAnsi="Times New Roman"/>
          <w:i/>
          <w:sz w:val="24"/>
          <w:szCs w:val="24"/>
          <w:lang w:val="en-GB"/>
        </w:rPr>
        <w:t xml:space="preserve">4.4. </w:t>
      </w:r>
      <w:r w:rsidR="00A76A79" w:rsidRPr="004C49AF">
        <w:rPr>
          <w:rFonts w:ascii="Times New Roman" w:hAnsi="Times New Roman"/>
          <w:i/>
          <w:sz w:val="24"/>
          <w:szCs w:val="24"/>
          <w:lang w:val="en-GB"/>
        </w:rPr>
        <w:t>Agency and participation. Tides for re-imagining politics?</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 xml:space="preserve">We devote this last section to speak of agency, one of the constituent elements of CA. Previously, we argued that the educational policies being proposed are far removed from </w:t>
      </w:r>
      <w:r w:rsidRPr="004C49AF">
        <w:rPr>
          <w:rFonts w:ascii="Times New Roman" w:hAnsi="Times New Roman"/>
          <w:sz w:val="24"/>
          <w:szCs w:val="24"/>
          <w:lang w:val="en-GB"/>
        </w:rPr>
        <w:lastRenderedPageBreak/>
        <w:t xml:space="preserve">having an interest in promoting agents of change. However, in recent years, never before has there been so much social mobilisation in Spain. In particular, in the field of education, we have referred to the </w:t>
      </w:r>
      <w:r w:rsidRPr="004C49AF">
        <w:rPr>
          <w:rFonts w:ascii="Times New Roman" w:hAnsi="Times New Roman"/>
          <w:i/>
          <w:sz w:val="24"/>
          <w:szCs w:val="24"/>
          <w:lang w:val="en-GB"/>
        </w:rPr>
        <w:t>Green Tide</w:t>
      </w:r>
      <w:r w:rsidRPr="004C49AF">
        <w:rPr>
          <w:rFonts w:ascii="Times New Roman" w:hAnsi="Times New Roman"/>
          <w:sz w:val="24"/>
          <w:szCs w:val="24"/>
          <w:lang w:val="en-GB"/>
        </w:rPr>
        <w:t xml:space="preserve">, to the </w:t>
      </w:r>
      <w:r w:rsidRPr="004C49AF">
        <w:rPr>
          <w:rFonts w:ascii="Times New Roman" w:hAnsi="Times New Roman"/>
          <w:bCs/>
          <w:i/>
          <w:sz w:val="24"/>
          <w:szCs w:val="24"/>
        </w:rPr>
        <w:t xml:space="preserve">Plataforma Estatal por la Escuela Pública </w:t>
      </w:r>
      <w:r w:rsidRPr="004C49AF">
        <w:rPr>
          <w:rFonts w:ascii="Times New Roman" w:hAnsi="Times New Roman"/>
          <w:sz w:val="24"/>
          <w:szCs w:val="24"/>
          <w:lang w:val="en-GB"/>
        </w:rPr>
        <w:t>(National Platform for State Schools)</w:t>
      </w:r>
      <w:r w:rsidRPr="004C49AF">
        <w:rPr>
          <w:rFonts w:ascii="Times New Roman" w:hAnsi="Times New Roman"/>
          <w:bCs/>
          <w:sz w:val="24"/>
          <w:szCs w:val="24"/>
        </w:rPr>
        <w:t xml:space="preserve">, to </w:t>
      </w:r>
      <w:r w:rsidRPr="004C49AF">
        <w:rPr>
          <w:rFonts w:ascii="Times New Roman" w:hAnsi="Times New Roman"/>
          <w:bCs/>
          <w:i/>
          <w:sz w:val="24"/>
          <w:szCs w:val="24"/>
        </w:rPr>
        <w:t xml:space="preserve">Mejora tu Escuela Pública </w:t>
      </w:r>
      <w:r w:rsidRPr="004C49AF">
        <w:rPr>
          <w:rFonts w:ascii="Times New Roman" w:hAnsi="Times New Roman"/>
          <w:sz w:val="24"/>
          <w:szCs w:val="24"/>
          <w:lang w:val="en-GB"/>
        </w:rPr>
        <w:t xml:space="preserve">(Improve Your State School) </w:t>
      </w:r>
      <w:r w:rsidRPr="004C49AF">
        <w:rPr>
          <w:rFonts w:ascii="Times New Roman" w:hAnsi="Times New Roman"/>
          <w:bCs/>
          <w:sz w:val="24"/>
          <w:szCs w:val="24"/>
        </w:rPr>
        <w:t>or</w:t>
      </w:r>
      <w:r w:rsidRPr="004C49AF">
        <w:rPr>
          <w:rFonts w:ascii="Times New Roman" w:hAnsi="Times New Roman"/>
          <w:bCs/>
          <w:i/>
          <w:sz w:val="24"/>
          <w:szCs w:val="24"/>
        </w:rPr>
        <w:t xml:space="preserve"> Soy Pública</w:t>
      </w:r>
      <w:r w:rsidRPr="004C49AF">
        <w:rPr>
          <w:rFonts w:ascii="Times New Roman" w:hAnsi="Times New Roman"/>
          <w:sz w:val="24"/>
          <w:szCs w:val="24"/>
          <w:lang w:val="en-GB"/>
        </w:rPr>
        <w:t xml:space="preserve"> (I'm State). All of these are clearly opposed to the current educational policies and aligned with the principles of CA. It is true that at the outset they arose as a means of defending the interests of the groups affected by education cuts but, over time, their demands have focused on equity in access to education, equal opportunities, etc. Also notable is the wide participation of young people, and not just university students, in these protests. One of the most striking episodes was the protest by the young people from the </w:t>
      </w:r>
      <w:r w:rsidRPr="004C49AF">
        <w:rPr>
          <w:rFonts w:ascii="Times New Roman" w:hAnsi="Times New Roman"/>
          <w:i/>
          <w:sz w:val="24"/>
          <w:szCs w:val="24"/>
          <w:lang w:val="en-GB"/>
        </w:rPr>
        <w:t xml:space="preserve">Instituto Juan Luis Vives </w:t>
      </w:r>
      <w:r w:rsidRPr="004C49AF">
        <w:rPr>
          <w:rFonts w:ascii="Times New Roman" w:hAnsi="Times New Roman"/>
          <w:sz w:val="24"/>
          <w:szCs w:val="24"/>
          <w:lang w:val="en-GB"/>
        </w:rPr>
        <w:t>secondary school in Valencia, in February 2012, against the deterioration of the educational facilities of the school due to defaulted payments and cuts made by the regional government. The protest ended with a strong police repression that had wide media coverage</w:t>
      </w:r>
      <w:r w:rsidRPr="004C49AF">
        <w:rPr>
          <w:rStyle w:val="Refdenotaalpie"/>
          <w:rFonts w:ascii="Times New Roman" w:hAnsi="Times New Roman"/>
          <w:bCs/>
          <w:sz w:val="24"/>
          <w:szCs w:val="24"/>
          <w:lang w:val="en-GB"/>
        </w:rPr>
        <w:footnoteReference w:id="26"/>
      </w:r>
      <w:r w:rsidRPr="004C49AF">
        <w:rPr>
          <w:rFonts w:ascii="Times New Roman" w:hAnsi="Times New Roman"/>
          <w:bCs/>
          <w:sz w:val="24"/>
          <w:szCs w:val="24"/>
          <w:lang w:val="en-GB"/>
        </w:rPr>
        <w:t>.</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 xml:space="preserve">If agency is participating in change, even at the cost of reducing capabilities as the episode from Valencia (renamed the Valencian Spring) shows, then we can argue that in Spain, probably in response to the educational policy, we are witnessing a flourishing of the agency we have earlier called </w:t>
      </w:r>
      <w:r w:rsidRPr="004C49AF">
        <w:rPr>
          <w:rFonts w:ascii="Times New Roman" w:hAnsi="Times New Roman"/>
          <w:i/>
          <w:sz w:val="24"/>
          <w:szCs w:val="24"/>
          <w:lang w:val="en-GB"/>
        </w:rPr>
        <w:t>strong agency</w:t>
      </w:r>
      <w:r w:rsidRPr="004C49AF">
        <w:rPr>
          <w:rFonts w:ascii="Times New Roman" w:hAnsi="Times New Roman"/>
          <w:sz w:val="24"/>
          <w:szCs w:val="24"/>
          <w:lang w:val="en-GB"/>
        </w:rPr>
        <w:t>. It is beyond the purpose of this paper to delve into the reasons, the individual stories, that lead these young people and those involved in the tides to exercise their agency</w:t>
      </w:r>
      <w:r w:rsidRPr="004C49AF">
        <w:rPr>
          <w:rStyle w:val="Refdenotaalpie"/>
          <w:rFonts w:ascii="Times New Roman" w:hAnsi="Times New Roman"/>
          <w:bCs/>
          <w:sz w:val="24"/>
          <w:szCs w:val="24"/>
          <w:lang w:val="en-GB"/>
        </w:rPr>
        <w:footnoteReference w:id="27"/>
      </w:r>
      <w:r w:rsidRPr="004C49AF">
        <w:rPr>
          <w:rFonts w:ascii="Times New Roman" w:hAnsi="Times New Roman"/>
          <w:bCs/>
          <w:sz w:val="24"/>
          <w:szCs w:val="24"/>
          <w:lang w:val="en-GB"/>
        </w:rPr>
        <w:t xml:space="preserve">. </w:t>
      </w:r>
      <w:r w:rsidRPr="004C49AF">
        <w:rPr>
          <w:rFonts w:ascii="Times New Roman" w:hAnsi="Times New Roman"/>
          <w:sz w:val="24"/>
          <w:szCs w:val="24"/>
          <w:lang w:val="en-GB"/>
        </w:rPr>
        <w:t xml:space="preserve"> However, we can say that there are clear indications that a strong agency is being built, both individually as well as collectively. The protest groups and rallies, </w:t>
      </w:r>
      <w:r w:rsidRPr="004C49AF">
        <w:rPr>
          <w:rFonts w:ascii="Times New Roman" w:hAnsi="Times New Roman"/>
          <w:sz w:val="24"/>
          <w:szCs w:val="24"/>
          <w:lang w:val="en-GB"/>
        </w:rPr>
        <w:lastRenderedPageBreak/>
        <w:t xml:space="preserve">the symbolic gestures, such as when a group of distinguished university students attended the awards ceremony to receive their awards for academic excellence wearing </w:t>
      </w:r>
      <w:r w:rsidRPr="004C49AF">
        <w:rPr>
          <w:rFonts w:ascii="Times New Roman" w:hAnsi="Times New Roman"/>
          <w:i/>
          <w:sz w:val="24"/>
          <w:szCs w:val="24"/>
          <w:lang w:val="en-GB"/>
        </w:rPr>
        <w:t xml:space="preserve">Green Tide </w:t>
      </w:r>
      <w:r w:rsidRPr="004C49AF">
        <w:rPr>
          <w:rFonts w:ascii="Times New Roman" w:hAnsi="Times New Roman"/>
          <w:sz w:val="24"/>
          <w:szCs w:val="24"/>
          <w:lang w:val="en-GB"/>
        </w:rPr>
        <w:t>T-shirts and refused to shake hands with the Minister of Education</w:t>
      </w:r>
      <w:r w:rsidRPr="004C49AF">
        <w:rPr>
          <w:rStyle w:val="Refdenotaalpie"/>
          <w:rFonts w:ascii="Times New Roman" w:hAnsi="Times New Roman"/>
          <w:bCs/>
          <w:sz w:val="24"/>
          <w:szCs w:val="24"/>
          <w:lang w:val="en-GB"/>
        </w:rPr>
        <w:footnoteReference w:id="28"/>
      </w:r>
      <w:r w:rsidRPr="004C49AF">
        <w:rPr>
          <w:rFonts w:ascii="Times New Roman" w:hAnsi="Times New Roman"/>
          <w:bCs/>
          <w:sz w:val="24"/>
          <w:szCs w:val="24"/>
          <w:lang w:val="en-GB"/>
        </w:rPr>
        <w:t>,</w:t>
      </w:r>
      <w:r w:rsidRPr="004C49AF">
        <w:rPr>
          <w:rFonts w:ascii="Times New Roman" w:hAnsi="Times New Roman"/>
          <w:sz w:val="24"/>
          <w:szCs w:val="24"/>
          <w:lang w:val="en-GB"/>
        </w:rPr>
        <w:t xml:space="preserve"> are examples of this.</w:t>
      </w:r>
    </w:p>
    <w:p w:rsidR="00A76A79" w:rsidRPr="009965D1" w:rsidRDefault="00A76A79" w:rsidP="00CF7563">
      <w:pPr>
        <w:numPr>
          <w:ilvl w:val="0"/>
          <w:numId w:val="9"/>
        </w:numPr>
        <w:shd w:val="clear" w:color="auto" w:fill="FFFFFF"/>
        <w:spacing w:line="480" w:lineRule="auto"/>
        <w:jc w:val="both"/>
        <w:textAlignment w:val="baseline"/>
        <w:rPr>
          <w:rFonts w:ascii="Times New Roman" w:hAnsi="Times New Roman"/>
          <w:b/>
          <w:sz w:val="24"/>
          <w:szCs w:val="24"/>
          <w:lang w:val="en-GB"/>
        </w:rPr>
      </w:pPr>
      <w:r w:rsidRPr="009965D1">
        <w:rPr>
          <w:rFonts w:ascii="Times New Roman" w:hAnsi="Times New Roman"/>
          <w:b/>
          <w:sz w:val="24"/>
          <w:szCs w:val="24"/>
          <w:lang w:val="en-GB"/>
        </w:rPr>
        <w:t xml:space="preserve">Conclusions and some reflections for the future </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Throughout this article we have argued that the educational policies being pushed forward by the Spanish central government are contrary to the approach of CA. There is no specific consideration of diversity, there is no value placed on the various effects that education can have as an instrument to promote greater equity and redistribution, its purpose is not to train students for participation in public life, subjects such as music or the arts have lost status and are no longer considered fundamental, and themes such as citizenship education have been removed from the curriculum, deemed as “indoctrination”. On the other hand, the manner of designing and implementing these policies has not generated consensus and has received little support. It is true that educational reforms have always been controversial in Spain but, as we have argued above, there has never before been such opposition from the citizenry as now.</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 xml:space="preserve">We would like to end this article </w:t>
      </w:r>
      <w:r w:rsidR="00F24EC0" w:rsidRPr="004C49AF">
        <w:rPr>
          <w:rFonts w:ascii="Times New Roman" w:hAnsi="Times New Roman"/>
          <w:sz w:val="24"/>
          <w:szCs w:val="24"/>
          <w:lang w:val="en-GB"/>
        </w:rPr>
        <w:t xml:space="preserve">with a constructive tone, </w:t>
      </w:r>
      <w:r w:rsidRPr="004C49AF">
        <w:rPr>
          <w:rFonts w:ascii="Times New Roman" w:hAnsi="Times New Roman"/>
          <w:sz w:val="24"/>
          <w:szCs w:val="24"/>
          <w:lang w:val="en-GB"/>
        </w:rPr>
        <w:t xml:space="preserve">by outlining some thoughts on how </w:t>
      </w:r>
      <w:r w:rsidR="00F24EC0" w:rsidRPr="004C49AF">
        <w:rPr>
          <w:rFonts w:ascii="Times New Roman" w:hAnsi="Times New Roman"/>
          <w:sz w:val="24"/>
          <w:szCs w:val="24"/>
          <w:lang w:val="en-GB"/>
        </w:rPr>
        <w:t xml:space="preserve">CA can contribute to </w:t>
      </w:r>
      <w:r w:rsidRPr="004C49AF">
        <w:rPr>
          <w:rFonts w:ascii="Times New Roman" w:hAnsi="Times New Roman"/>
          <w:sz w:val="24"/>
          <w:szCs w:val="24"/>
          <w:lang w:val="en-GB"/>
        </w:rPr>
        <w:t>design edu</w:t>
      </w:r>
      <w:r w:rsidR="005711C6" w:rsidRPr="004C49AF">
        <w:rPr>
          <w:rFonts w:ascii="Times New Roman" w:hAnsi="Times New Roman"/>
          <w:sz w:val="24"/>
          <w:szCs w:val="24"/>
          <w:lang w:val="en-GB"/>
        </w:rPr>
        <w:t xml:space="preserve">cational policies. </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 xml:space="preserve">The first </w:t>
      </w:r>
      <w:r w:rsidR="00F24EC0" w:rsidRPr="004C49AF">
        <w:rPr>
          <w:rFonts w:ascii="Times New Roman" w:hAnsi="Times New Roman"/>
          <w:sz w:val="24"/>
          <w:szCs w:val="24"/>
          <w:lang w:val="en-GB"/>
        </w:rPr>
        <w:t xml:space="preserve">question is to </w:t>
      </w:r>
      <w:r w:rsidRPr="004C49AF">
        <w:rPr>
          <w:rFonts w:ascii="Times New Roman" w:hAnsi="Times New Roman"/>
          <w:sz w:val="24"/>
          <w:szCs w:val="24"/>
          <w:lang w:val="en-GB"/>
        </w:rPr>
        <w:t xml:space="preserve">recover the </w:t>
      </w:r>
      <w:r w:rsidRPr="004C49AF">
        <w:rPr>
          <w:rFonts w:ascii="Times New Roman" w:hAnsi="Times New Roman"/>
          <w:i/>
          <w:sz w:val="24"/>
          <w:szCs w:val="24"/>
          <w:lang w:val="en-GB"/>
        </w:rPr>
        <w:t>constructive</w:t>
      </w:r>
      <w:r w:rsidRPr="004C49AF">
        <w:rPr>
          <w:rFonts w:ascii="Times New Roman" w:hAnsi="Times New Roman"/>
          <w:sz w:val="24"/>
          <w:szCs w:val="24"/>
          <w:lang w:val="en-GB"/>
        </w:rPr>
        <w:t xml:space="preserve"> value of democracy (Sen, 1999b), the public arena as a space for discussion and the search for formulas that permit widely supported measures to be adopted. In this deliberative process it should be ensured that all voices are heard, including those less powerful groups with fewer opportunities, such as students with less access to educational opportunities.</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lastRenderedPageBreak/>
        <w:t>Secondly, and also given the critical situation being experienced Spain where youth poverty is very high (with a rate of 30.6% compared to 27% of adults), with an unemployment rate of 55.13% (both according to Red Cross estimates, 2013), access to quality education is crucial. Quality is not just resources, it also means attending to students' diversity and giving them real opportunities to make their right to education effective</w:t>
      </w:r>
    </w:p>
    <w:p w:rsidR="00F24EC0"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Thirdly, it is important to emphasise that the acquisition of instrumental skills must go hand in hand with the cultivation of other capabilities</w:t>
      </w:r>
      <w:r w:rsidR="00F24EC0" w:rsidRPr="004C49AF">
        <w:rPr>
          <w:rFonts w:ascii="Times New Roman" w:hAnsi="Times New Roman"/>
          <w:sz w:val="24"/>
          <w:szCs w:val="24"/>
          <w:lang w:val="en-GB"/>
        </w:rPr>
        <w:t xml:space="preserve">. </w:t>
      </w:r>
      <w:r w:rsidRPr="004C49AF">
        <w:rPr>
          <w:rFonts w:ascii="Times New Roman" w:hAnsi="Times New Roman"/>
          <w:sz w:val="24"/>
          <w:szCs w:val="24"/>
          <w:lang w:val="en-GB"/>
        </w:rPr>
        <w:t xml:space="preserve">This also includes the use of critical pedagogies that demonstrate the best option for cultivating these capabilities (Walker, 2006). Religion, or rather religions, can contribute to this, but should not replace other training processes guided by values ​​such as those mentioned above. </w:t>
      </w:r>
    </w:p>
    <w:p w:rsidR="00A76A79" w:rsidRPr="004C49AF" w:rsidRDefault="00A76A79" w:rsidP="00A76A79">
      <w:pPr>
        <w:spacing w:line="480" w:lineRule="auto"/>
        <w:jc w:val="both"/>
        <w:rPr>
          <w:rFonts w:ascii="Times New Roman" w:hAnsi="Times New Roman"/>
          <w:sz w:val="24"/>
          <w:szCs w:val="24"/>
          <w:lang w:val="en-GB"/>
        </w:rPr>
      </w:pPr>
      <w:r w:rsidRPr="004C49AF">
        <w:rPr>
          <w:rFonts w:ascii="Times New Roman" w:hAnsi="Times New Roman"/>
          <w:sz w:val="24"/>
          <w:szCs w:val="24"/>
          <w:lang w:val="en-GB"/>
        </w:rPr>
        <w:t>Furthermore, in relation to the cultivation of agency, an education policy based on the principles of CA should develop a citizenry that is critical, demanding and which promotes change, not a passive citizenry that merely obeys the decisions that come from above. In our opinion, what these tides of citizens are demonstrating is that this type of citizenship is a reality in Spain. It may not be a majority, but it exists. This, beyond the short-term decisions of politicians, focused on current circumstances, is the best hope that a change in education policy is possible.</w:t>
      </w:r>
    </w:p>
    <w:p w:rsidR="00F24EC0" w:rsidRPr="004C49AF" w:rsidRDefault="00F24EC0" w:rsidP="00A76A79">
      <w:pPr>
        <w:spacing w:after="0" w:line="480" w:lineRule="auto"/>
        <w:jc w:val="both"/>
        <w:rPr>
          <w:rFonts w:ascii="Times New Roman" w:hAnsi="Times New Roman"/>
          <w:sz w:val="24"/>
          <w:szCs w:val="24"/>
          <w:lang w:val="en-GB"/>
        </w:rPr>
      </w:pPr>
    </w:p>
    <w:p w:rsidR="00A76A79" w:rsidRPr="009965D1" w:rsidRDefault="00F24EC0" w:rsidP="00A76A79">
      <w:pPr>
        <w:spacing w:after="0" w:line="480" w:lineRule="auto"/>
        <w:jc w:val="both"/>
        <w:rPr>
          <w:rFonts w:ascii="Times New Roman" w:hAnsi="Times New Roman"/>
          <w:b/>
          <w:sz w:val="24"/>
          <w:szCs w:val="24"/>
          <w:lang w:val="en-GB"/>
        </w:rPr>
      </w:pPr>
      <w:r w:rsidRPr="004C49AF">
        <w:rPr>
          <w:rFonts w:ascii="Times New Roman" w:hAnsi="Times New Roman"/>
          <w:sz w:val="24"/>
          <w:szCs w:val="24"/>
          <w:lang w:val="en-GB"/>
        </w:rPr>
        <w:br w:type="page"/>
      </w:r>
      <w:r w:rsidR="00A76A79" w:rsidRPr="009965D1">
        <w:rPr>
          <w:rFonts w:ascii="Times New Roman" w:hAnsi="Times New Roman"/>
          <w:b/>
          <w:sz w:val="24"/>
          <w:szCs w:val="24"/>
          <w:lang w:val="en-GB"/>
        </w:rPr>
        <w:lastRenderedPageBreak/>
        <w:t xml:space="preserve">References </w:t>
      </w:r>
    </w:p>
    <w:p w:rsidR="00A76A79" w:rsidRPr="004C49AF" w:rsidRDefault="00A76A79" w:rsidP="00A76A79">
      <w:pPr>
        <w:tabs>
          <w:tab w:val="left" w:pos="6660"/>
        </w:tabs>
        <w:autoSpaceDE w:val="0"/>
        <w:autoSpaceDN w:val="0"/>
        <w:adjustRightInd w:val="0"/>
        <w:spacing w:after="0" w:line="240" w:lineRule="auto"/>
        <w:ind w:left="540" w:hanging="540"/>
        <w:jc w:val="both"/>
        <w:rPr>
          <w:rFonts w:ascii="Times New Roman" w:hAnsi="Times New Roman"/>
          <w:sz w:val="24"/>
          <w:szCs w:val="24"/>
          <w:lang w:val="en-GB" w:eastAsia="en-GB"/>
        </w:rPr>
      </w:pPr>
    </w:p>
    <w:p w:rsidR="00A76A79" w:rsidRPr="004C49AF" w:rsidRDefault="00A76A79" w:rsidP="009965D1">
      <w:pPr>
        <w:spacing w:before="120"/>
        <w:contextualSpacing/>
        <w:rPr>
          <w:rFonts w:ascii="Times New Roman" w:hAnsi="Times New Roman"/>
          <w:sz w:val="24"/>
          <w:szCs w:val="24"/>
          <w:lang w:val="en-GB"/>
        </w:rPr>
      </w:pPr>
      <w:r w:rsidRPr="004C49AF">
        <w:rPr>
          <w:rFonts w:ascii="Times New Roman" w:hAnsi="Times New Roman"/>
          <w:sz w:val="24"/>
          <w:szCs w:val="24"/>
          <w:lang w:val="en-GB"/>
        </w:rPr>
        <w:t>Alkire, S., 2007. Choosing dimensions: the capability approach and multidimensional poverty. In: Kakwani, N., Silber, J. (Eds.), The Many Dimensions of Poverty. Palgrave, New York.</w:t>
      </w:r>
    </w:p>
    <w:p w:rsidR="00A76A79" w:rsidRPr="004C49AF" w:rsidRDefault="00A76A79" w:rsidP="00A76A79">
      <w:pPr>
        <w:spacing w:before="120"/>
        <w:ind w:left="567" w:hanging="567"/>
        <w:contextualSpacing/>
        <w:rPr>
          <w:rFonts w:ascii="Times New Roman" w:hAnsi="Times New Roman"/>
          <w:sz w:val="24"/>
          <w:szCs w:val="24"/>
          <w:lang w:val="en-GB"/>
        </w:rPr>
      </w:pPr>
    </w:p>
    <w:p w:rsidR="00A76A79" w:rsidRPr="004C49AF" w:rsidRDefault="00A76A79" w:rsidP="00A76A79">
      <w:pPr>
        <w:autoSpaceDE w:val="0"/>
        <w:autoSpaceDN w:val="0"/>
        <w:adjustRightInd w:val="0"/>
        <w:jc w:val="both"/>
        <w:rPr>
          <w:rFonts w:ascii="Times New Roman" w:hAnsi="Times New Roman"/>
          <w:iCs/>
          <w:sz w:val="24"/>
          <w:szCs w:val="24"/>
          <w:lang w:val="en-GB"/>
        </w:rPr>
      </w:pPr>
      <w:r w:rsidRPr="004C49AF">
        <w:rPr>
          <w:rFonts w:ascii="Times New Roman" w:hAnsi="Times New Roman"/>
          <w:iCs/>
          <w:sz w:val="24"/>
          <w:szCs w:val="24"/>
          <w:lang w:val="en-GB"/>
        </w:rPr>
        <w:t xml:space="preserve">Ballet, J., Dubois, J. L. and Mahieu, F. (2007), ‘Responsibility for each other’s freedom: agency as the source of collective capability’, </w:t>
      </w:r>
      <w:r w:rsidRPr="004C49AF">
        <w:rPr>
          <w:rFonts w:ascii="Times New Roman" w:hAnsi="Times New Roman"/>
          <w:i/>
          <w:iCs/>
          <w:sz w:val="24"/>
          <w:szCs w:val="24"/>
          <w:lang w:val="en-GB"/>
        </w:rPr>
        <w:t xml:space="preserve">Journal of Human Development and Capabilities, </w:t>
      </w:r>
      <w:r w:rsidRPr="004C49AF">
        <w:rPr>
          <w:rFonts w:ascii="Times New Roman" w:hAnsi="Times New Roman"/>
          <w:iCs/>
          <w:sz w:val="24"/>
          <w:szCs w:val="24"/>
          <w:lang w:val="en-GB"/>
        </w:rPr>
        <w:t>8, 185–201.</w:t>
      </w:r>
    </w:p>
    <w:p w:rsidR="00A76A79" w:rsidRPr="004C49AF" w:rsidRDefault="00A76A79" w:rsidP="00A76A79">
      <w:pPr>
        <w:autoSpaceDE w:val="0"/>
        <w:autoSpaceDN w:val="0"/>
        <w:adjustRightInd w:val="0"/>
        <w:spacing w:before="120"/>
        <w:rPr>
          <w:rFonts w:ascii="Times New Roman" w:hAnsi="Times New Roman"/>
          <w:sz w:val="24"/>
          <w:szCs w:val="24"/>
          <w:lang w:val="en-GB"/>
        </w:rPr>
      </w:pPr>
      <w:r w:rsidRPr="004C49AF">
        <w:rPr>
          <w:rFonts w:ascii="Times New Roman" w:hAnsi="Times New Roman"/>
          <w:sz w:val="24"/>
          <w:szCs w:val="24"/>
          <w:lang w:val="en-GB"/>
        </w:rPr>
        <w:t xml:space="preserve">Boni, A. and Gasper, D. (2012) Rethinking the quality of universities – How can human development thinking contribute?, </w:t>
      </w:r>
      <w:r w:rsidRPr="004C49AF">
        <w:rPr>
          <w:rFonts w:ascii="Times New Roman" w:hAnsi="Times New Roman"/>
          <w:i/>
          <w:sz w:val="24"/>
          <w:szCs w:val="24"/>
          <w:lang w:val="en-GB"/>
        </w:rPr>
        <w:t>Journal of Human Development and Capabilities,</w:t>
      </w:r>
      <w:r w:rsidRPr="004C49AF">
        <w:rPr>
          <w:rFonts w:ascii="Times New Roman" w:hAnsi="Times New Roman"/>
          <w:sz w:val="24"/>
          <w:szCs w:val="24"/>
          <w:lang w:val="en-GB"/>
        </w:rPr>
        <w:t xml:space="preserve"> 13,3: 451-470</w:t>
      </w:r>
      <w:r w:rsidRPr="004C49AF">
        <w:rPr>
          <w:rFonts w:ascii="Times New Roman" w:hAnsi="Times New Roman"/>
          <w:sz w:val="24"/>
          <w:szCs w:val="24"/>
          <w:lang w:val="en-GB"/>
        </w:rPr>
        <w:tab/>
      </w:r>
    </w:p>
    <w:p w:rsidR="00A76A79" w:rsidRPr="004C49AF" w:rsidRDefault="00A76A79" w:rsidP="00A76A79">
      <w:pPr>
        <w:jc w:val="both"/>
        <w:rPr>
          <w:rFonts w:ascii="Times New Roman" w:hAnsi="Times New Roman"/>
          <w:iCs/>
          <w:sz w:val="24"/>
          <w:szCs w:val="24"/>
          <w:lang w:val="en-GB"/>
        </w:rPr>
      </w:pPr>
      <w:r w:rsidRPr="004C49AF">
        <w:rPr>
          <w:rFonts w:ascii="Times New Roman" w:hAnsi="Times New Roman"/>
          <w:iCs/>
          <w:sz w:val="24"/>
          <w:szCs w:val="24"/>
          <w:lang w:val="en-GB"/>
        </w:rPr>
        <w:t xml:space="preserve">Boni, A. and Walker, M. (Eds) (2013) </w:t>
      </w:r>
      <w:r w:rsidRPr="004C49AF">
        <w:rPr>
          <w:rFonts w:ascii="Times New Roman" w:hAnsi="Times New Roman"/>
          <w:i/>
          <w:iCs/>
          <w:sz w:val="24"/>
          <w:szCs w:val="24"/>
          <w:lang w:val="en-GB"/>
        </w:rPr>
        <w:t>Universities and Human Development. A New Imaginary for the University of the XXI Century</w:t>
      </w:r>
      <w:r w:rsidRPr="004C49AF">
        <w:rPr>
          <w:rFonts w:ascii="Times New Roman" w:hAnsi="Times New Roman"/>
          <w:iCs/>
          <w:sz w:val="24"/>
          <w:szCs w:val="24"/>
          <w:lang w:val="en-GB"/>
        </w:rPr>
        <w:t>, London: Routledge.</w:t>
      </w:r>
    </w:p>
    <w:p w:rsidR="00A76A79" w:rsidRPr="004C49AF" w:rsidRDefault="00A76A79" w:rsidP="00A76A79">
      <w:pPr>
        <w:jc w:val="both"/>
        <w:rPr>
          <w:rFonts w:ascii="Times New Roman" w:hAnsi="Times New Roman"/>
          <w:iCs/>
          <w:sz w:val="24"/>
          <w:szCs w:val="24"/>
          <w:lang w:val="en-GB"/>
        </w:rPr>
      </w:pPr>
      <w:r w:rsidRPr="004C49AF">
        <w:rPr>
          <w:rFonts w:ascii="Times New Roman" w:hAnsi="Times New Roman"/>
          <w:iCs/>
          <w:sz w:val="24"/>
          <w:szCs w:val="24"/>
          <w:lang w:val="en-GB"/>
        </w:rPr>
        <w:t xml:space="preserve">Bonvin, J.M. (2013), </w:t>
      </w:r>
      <w:r w:rsidRPr="004C49AF">
        <w:rPr>
          <w:rFonts w:ascii="Times New Roman" w:hAnsi="Times New Roman"/>
          <w:i/>
          <w:sz w:val="24"/>
          <w:szCs w:val="24"/>
          <w:lang w:val="en-GB"/>
        </w:rPr>
        <w:t xml:space="preserve">Synthesis WP  2 - Edinburgh meeting, </w:t>
      </w:r>
      <w:r w:rsidRPr="004C49AF">
        <w:rPr>
          <w:rFonts w:ascii="Times New Roman" w:hAnsi="Times New Roman"/>
          <w:sz w:val="24"/>
          <w:szCs w:val="24"/>
          <w:lang w:val="en-GB"/>
        </w:rPr>
        <w:t>Society Project funded by 7th Framework Programme, EU.</w:t>
      </w:r>
    </w:p>
    <w:p w:rsidR="00A76A79" w:rsidRPr="004C49AF" w:rsidRDefault="00A76A79" w:rsidP="00A76A79">
      <w:pPr>
        <w:autoSpaceDE w:val="0"/>
        <w:autoSpaceDN w:val="0"/>
        <w:adjustRightInd w:val="0"/>
        <w:jc w:val="both"/>
        <w:rPr>
          <w:rFonts w:ascii="Times New Roman" w:hAnsi="Times New Roman"/>
          <w:iCs/>
          <w:sz w:val="24"/>
          <w:szCs w:val="24"/>
          <w:lang w:val="en-GB"/>
        </w:rPr>
      </w:pPr>
      <w:r w:rsidRPr="004C49AF">
        <w:rPr>
          <w:rFonts w:ascii="Times New Roman" w:hAnsi="Times New Roman"/>
          <w:iCs/>
          <w:sz w:val="24"/>
          <w:szCs w:val="24"/>
          <w:lang w:val="en-GB"/>
        </w:rPr>
        <w:t xml:space="preserve">Crocker, D. (2008), ‘Sen’s concepts of agency’ (paper delivered to the </w:t>
      </w:r>
      <w:r w:rsidRPr="004C49AF">
        <w:rPr>
          <w:rFonts w:ascii="Times New Roman" w:hAnsi="Times New Roman"/>
          <w:i/>
          <w:iCs/>
          <w:sz w:val="24"/>
          <w:szCs w:val="24"/>
          <w:lang w:val="en-GB"/>
        </w:rPr>
        <w:t>Human Development and Capability Association Conference</w:t>
      </w:r>
      <w:r w:rsidRPr="004C49AF">
        <w:rPr>
          <w:rFonts w:ascii="Times New Roman" w:hAnsi="Times New Roman"/>
          <w:iCs/>
          <w:sz w:val="24"/>
          <w:szCs w:val="24"/>
          <w:lang w:val="en-GB"/>
        </w:rPr>
        <w:t>, New Delhi, 10–13 September).</w:t>
      </w:r>
    </w:p>
    <w:p w:rsidR="00A76A79" w:rsidRPr="004C49AF" w:rsidRDefault="00A76A79" w:rsidP="00A76A79">
      <w:pPr>
        <w:tabs>
          <w:tab w:val="left" w:pos="6660"/>
        </w:tabs>
        <w:spacing w:after="0" w:line="240" w:lineRule="auto"/>
        <w:ind w:left="540" w:hanging="540"/>
        <w:jc w:val="both"/>
        <w:rPr>
          <w:rStyle w:val="personname"/>
          <w:rFonts w:ascii="Times New Roman" w:hAnsi="Times New Roman"/>
          <w:sz w:val="24"/>
          <w:szCs w:val="24"/>
          <w:lang w:val="en-GB"/>
        </w:rPr>
      </w:pPr>
      <w:r w:rsidRPr="004C49AF">
        <w:rPr>
          <w:rStyle w:val="personname"/>
          <w:rFonts w:ascii="Times New Roman" w:hAnsi="Times New Roman"/>
          <w:sz w:val="24"/>
          <w:szCs w:val="24"/>
          <w:lang w:val="es-ES"/>
        </w:rPr>
        <w:t>Cruz Roja, (2013</w:t>
      </w:r>
      <w:r w:rsidRPr="004C49AF">
        <w:rPr>
          <w:rStyle w:val="personname"/>
          <w:rFonts w:ascii="Times New Roman" w:hAnsi="Times New Roman"/>
          <w:i/>
          <w:sz w:val="24"/>
          <w:szCs w:val="24"/>
          <w:lang w:val="es-ES"/>
        </w:rPr>
        <w:t xml:space="preserve">) Boletín sobre la vulnerabilidad social </w:t>
      </w:r>
      <w:r w:rsidRPr="004C49AF">
        <w:rPr>
          <w:rStyle w:val="personname"/>
          <w:rFonts w:ascii="Times New Roman" w:hAnsi="Times New Roman"/>
          <w:sz w:val="24"/>
          <w:szCs w:val="24"/>
          <w:lang w:val="es-ES"/>
        </w:rPr>
        <w:t xml:space="preserve">No.6. </w:t>
      </w:r>
      <w:r w:rsidRPr="004C49AF">
        <w:rPr>
          <w:rStyle w:val="personname"/>
          <w:rFonts w:ascii="Times New Roman" w:hAnsi="Times New Roman"/>
          <w:sz w:val="24"/>
          <w:szCs w:val="24"/>
          <w:lang w:val="en-GB"/>
        </w:rPr>
        <w:t xml:space="preserve">April </w:t>
      </w:r>
    </w:p>
    <w:p w:rsidR="00A76A79" w:rsidRPr="004C49AF" w:rsidRDefault="00A76A79" w:rsidP="00A76A79">
      <w:pPr>
        <w:tabs>
          <w:tab w:val="left" w:pos="6660"/>
        </w:tabs>
        <w:spacing w:after="0" w:line="240" w:lineRule="auto"/>
        <w:ind w:left="540" w:hanging="540"/>
        <w:jc w:val="both"/>
        <w:rPr>
          <w:rStyle w:val="personname"/>
          <w:rFonts w:ascii="Times New Roman" w:hAnsi="Times New Roman"/>
          <w:sz w:val="24"/>
          <w:szCs w:val="24"/>
          <w:lang w:val="en-GB"/>
        </w:rPr>
      </w:pPr>
    </w:p>
    <w:p w:rsidR="00A76A79" w:rsidRPr="004C49AF" w:rsidRDefault="00A76A79" w:rsidP="009965D1">
      <w:pPr>
        <w:tabs>
          <w:tab w:val="left" w:pos="6660"/>
        </w:tabs>
        <w:spacing w:after="0" w:line="240" w:lineRule="auto"/>
        <w:jc w:val="both"/>
        <w:rPr>
          <w:rFonts w:ascii="Times New Roman" w:hAnsi="Times New Roman"/>
          <w:sz w:val="24"/>
          <w:szCs w:val="24"/>
          <w:lang w:val="en-GB"/>
        </w:rPr>
      </w:pPr>
      <w:r w:rsidRPr="004C49AF">
        <w:rPr>
          <w:rStyle w:val="personname"/>
          <w:rFonts w:ascii="Times New Roman" w:hAnsi="Times New Roman"/>
          <w:sz w:val="24"/>
          <w:szCs w:val="24"/>
          <w:lang w:val="en-GB"/>
        </w:rPr>
        <w:t>Deneulin</w:t>
      </w:r>
      <w:r w:rsidRPr="004C49AF">
        <w:rPr>
          <w:rFonts w:ascii="Times New Roman" w:hAnsi="Times New Roman"/>
          <w:sz w:val="24"/>
          <w:szCs w:val="24"/>
          <w:lang w:val="en-GB"/>
        </w:rPr>
        <w:t xml:space="preserve">, S. (2009) Democracy and Political Participation. </w:t>
      </w:r>
      <w:bookmarkStart w:id="1" w:name="group_book"/>
      <w:r w:rsidRPr="004C49AF">
        <w:rPr>
          <w:rStyle w:val="personname"/>
          <w:rFonts w:ascii="Times New Roman" w:hAnsi="Times New Roman"/>
          <w:sz w:val="24"/>
          <w:szCs w:val="24"/>
          <w:lang w:val="en-GB"/>
        </w:rPr>
        <w:t>In S. Deneulin</w:t>
      </w:r>
      <w:r w:rsidRPr="004C49AF">
        <w:rPr>
          <w:rFonts w:ascii="Times New Roman" w:hAnsi="Times New Roman"/>
          <w:sz w:val="24"/>
          <w:szCs w:val="24"/>
          <w:lang w:val="en-GB"/>
        </w:rPr>
        <w:t xml:space="preserve"> and L. </w:t>
      </w:r>
      <w:r w:rsidRPr="004C49AF">
        <w:rPr>
          <w:rStyle w:val="personname"/>
          <w:rFonts w:ascii="Times New Roman" w:hAnsi="Times New Roman"/>
          <w:sz w:val="24"/>
          <w:szCs w:val="24"/>
          <w:lang w:val="en-GB"/>
        </w:rPr>
        <w:t>Shahani (eds),</w:t>
      </w:r>
      <w:r w:rsidRPr="004C49AF">
        <w:rPr>
          <w:rFonts w:ascii="Times New Roman" w:hAnsi="Times New Roman"/>
          <w:sz w:val="24"/>
          <w:szCs w:val="24"/>
          <w:lang w:val="en-GB"/>
        </w:rPr>
        <w:t xml:space="preserve"> </w:t>
      </w:r>
      <w:bookmarkEnd w:id="1"/>
      <w:r w:rsidRPr="004C49AF">
        <w:rPr>
          <w:rStyle w:val="nfasis"/>
          <w:rFonts w:ascii="Times New Roman" w:hAnsi="Times New Roman"/>
          <w:sz w:val="24"/>
          <w:szCs w:val="24"/>
          <w:lang w:val="en-GB"/>
        </w:rPr>
        <w:t>An Introduction to the Human Development and Capability Approach: Freedom and Agency.</w:t>
      </w:r>
      <w:r w:rsidRPr="004C49AF">
        <w:rPr>
          <w:rFonts w:ascii="Times New Roman" w:hAnsi="Times New Roman"/>
          <w:sz w:val="24"/>
          <w:szCs w:val="24"/>
          <w:lang w:val="en-GB"/>
        </w:rPr>
        <w:t xml:space="preserve"> London: Earthscan</w:t>
      </w:r>
    </w:p>
    <w:p w:rsidR="00A76A79" w:rsidRPr="004C49AF" w:rsidRDefault="00A76A79" w:rsidP="00A76A79">
      <w:pPr>
        <w:tabs>
          <w:tab w:val="left" w:pos="6660"/>
        </w:tabs>
        <w:autoSpaceDE w:val="0"/>
        <w:autoSpaceDN w:val="0"/>
        <w:adjustRightInd w:val="0"/>
        <w:spacing w:after="0" w:line="240" w:lineRule="auto"/>
        <w:ind w:left="540" w:hanging="540"/>
        <w:jc w:val="both"/>
        <w:rPr>
          <w:rFonts w:ascii="Times New Roman" w:hAnsi="Times New Roman"/>
          <w:bCs/>
          <w:sz w:val="24"/>
          <w:szCs w:val="24"/>
          <w:lang w:val="en-GB"/>
        </w:rPr>
      </w:pPr>
    </w:p>
    <w:p w:rsidR="00A76A79" w:rsidRPr="004C49AF" w:rsidRDefault="00A76A79" w:rsidP="00A76A79">
      <w:pPr>
        <w:spacing w:before="120"/>
        <w:rPr>
          <w:rFonts w:ascii="Times New Roman" w:hAnsi="Times New Roman"/>
          <w:noProof/>
          <w:sz w:val="24"/>
          <w:szCs w:val="24"/>
          <w:lang w:val="en-GB"/>
        </w:rPr>
      </w:pPr>
      <w:r w:rsidRPr="004C49AF">
        <w:rPr>
          <w:rFonts w:ascii="Times New Roman" w:hAnsi="Times New Roman"/>
          <w:noProof/>
          <w:sz w:val="24"/>
          <w:szCs w:val="24"/>
          <w:lang w:val="en-GB"/>
        </w:rPr>
        <w:t>Dreze, J. and Sen, A., 2002.</w:t>
      </w:r>
      <w:r w:rsidRPr="004C49AF">
        <w:rPr>
          <w:rFonts w:ascii="Times New Roman" w:hAnsi="Times New Roman"/>
          <w:sz w:val="24"/>
          <w:szCs w:val="24"/>
          <w:lang w:val="en-GB"/>
        </w:rPr>
        <w:t xml:space="preserve"> </w:t>
      </w:r>
      <w:r w:rsidRPr="004C49AF">
        <w:rPr>
          <w:rFonts w:ascii="Times New Roman" w:hAnsi="Times New Roman"/>
          <w:i/>
          <w:noProof/>
          <w:sz w:val="24"/>
          <w:szCs w:val="24"/>
          <w:lang w:val="en-GB"/>
        </w:rPr>
        <w:t>India:</w:t>
      </w:r>
      <w:r w:rsidRPr="004C49AF">
        <w:rPr>
          <w:rFonts w:ascii="Times New Roman" w:hAnsi="Times New Roman"/>
          <w:i/>
          <w:sz w:val="24"/>
          <w:szCs w:val="24"/>
          <w:lang w:val="en-GB"/>
        </w:rPr>
        <w:t xml:space="preserve"> </w:t>
      </w:r>
      <w:r w:rsidRPr="004C49AF">
        <w:rPr>
          <w:rFonts w:ascii="Times New Roman" w:hAnsi="Times New Roman"/>
          <w:i/>
          <w:noProof/>
          <w:sz w:val="24"/>
          <w:szCs w:val="24"/>
          <w:lang w:val="en-GB"/>
        </w:rPr>
        <w:t>Development and participation</w:t>
      </w:r>
      <w:r w:rsidRPr="004C49AF">
        <w:rPr>
          <w:rFonts w:ascii="Times New Roman" w:hAnsi="Times New Roman"/>
          <w:noProof/>
          <w:sz w:val="24"/>
          <w:szCs w:val="24"/>
          <w:lang w:val="en-GB"/>
        </w:rPr>
        <w:t>.</w:t>
      </w:r>
      <w:r w:rsidRPr="004C49AF">
        <w:rPr>
          <w:rFonts w:ascii="Times New Roman" w:hAnsi="Times New Roman"/>
          <w:i/>
          <w:noProof/>
          <w:sz w:val="24"/>
          <w:szCs w:val="24"/>
          <w:lang w:val="en-GB"/>
        </w:rPr>
        <w:t xml:space="preserve"> </w:t>
      </w:r>
      <w:r w:rsidRPr="004C49AF">
        <w:rPr>
          <w:rFonts w:ascii="Times New Roman" w:hAnsi="Times New Roman"/>
          <w:noProof/>
          <w:sz w:val="24"/>
          <w:szCs w:val="24"/>
          <w:lang w:val="en-GB"/>
        </w:rPr>
        <w:t>Oxford:</w:t>
      </w:r>
      <w:r w:rsidRPr="004C49AF">
        <w:rPr>
          <w:rFonts w:ascii="Times New Roman" w:hAnsi="Times New Roman"/>
          <w:sz w:val="24"/>
          <w:szCs w:val="24"/>
          <w:lang w:val="en-GB"/>
        </w:rPr>
        <w:t xml:space="preserve"> </w:t>
      </w:r>
      <w:r w:rsidRPr="004C49AF">
        <w:rPr>
          <w:rFonts w:ascii="Times New Roman" w:hAnsi="Times New Roman"/>
          <w:noProof/>
          <w:sz w:val="24"/>
          <w:szCs w:val="24"/>
          <w:lang w:val="en-GB"/>
        </w:rPr>
        <w:t>Oxford University Press.</w:t>
      </w:r>
    </w:p>
    <w:p w:rsidR="00A76A79" w:rsidRPr="004C49AF" w:rsidRDefault="00A76A79" w:rsidP="00A76A79">
      <w:pPr>
        <w:pStyle w:val="Textonotapie"/>
        <w:rPr>
          <w:rFonts w:ascii="Times New Roman" w:hAnsi="Times New Roman"/>
          <w:sz w:val="24"/>
          <w:szCs w:val="24"/>
          <w:lang w:val="en-GB"/>
        </w:rPr>
      </w:pPr>
      <w:r w:rsidRPr="004C49AF">
        <w:rPr>
          <w:rFonts w:ascii="Times New Roman" w:hAnsi="Times New Roman"/>
          <w:sz w:val="24"/>
          <w:szCs w:val="24"/>
          <w:lang w:val="en-GB"/>
        </w:rPr>
        <w:t xml:space="preserve">FETE- UGT (2013) Revista Escuela, 3.984 (815), 16th May 2013 in </w:t>
      </w:r>
      <w:hyperlink r:id="rId8" w:history="1">
        <w:r w:rsidRPr="004C49AF">
          <w:rPr>
            <w:rStyle w:val="Hipervnculo"/>
            <w:rFonts w:ascii="Times New Roman" w:hAnsi="Times New Roman"/>
            <w:color w:val="auto"/>
            <w:sz w:val="24"/>
            <w:szCs w:val="24"/>
            <w:lang w:val="en-GB"/>
          </w:rPr>
          <w:t>http://gdc.feteugt.es/cuteeditornet/imagenes/2013/P%C3%BAblica/PUBretribuciones_escuela3984.pdf</w:t>
        </w:r>
      </w:hyperlink>
    </w:p>
    <w:p w:rsidR="00A76A79" w:rsidRPr="004C49AF" w:rsidRDefault="00A76A79" w:rsidP="00A76A79">
      <w:pPr>
        <w:tabs>
          <w:tab w:val="left" w:pos="6660"/>
        </w:tabs>
        <w:autoSpaceDE w:val="0"/>
        <w:autoSpaceDN w:val="0"/>
        <w:adjustRightInd w:val="0"/>
        <w:spacing w:after="0" w:line="240" w:lineRule="auto"/>
        <w:ind w:left="540" w:hanging="540"/>
        <w:jc w:val="both"/>
        <w:rPr>
          <w:rFonts w:ascii="Times New Roman" w:hAnsi="Times New Roman"/>
          <w:bCs/>
          <w:sz w:val="24"/>
          <w:szCs w:val="24"/>
          <w:lang w:val="en-GB"/>
        </w:rPr>
      </w:pPr>
    </w:p>
    <w:p w:rsidR="00A76A79" w:rsidRPr="004C49AF" w:rsidRDefault="00A76A79" w:rsidP="009965D1">
      <w:pPr>
        <w:tabs>
          <w:tab w:val="left" w:pos="6660"/>
        </w:tabs>
        <w:autoSpaceDE w:val="0"/>
        <w:autoSpaceDN w:val="0"/>
        <w:adjustRightInd w:val="0"/>
        <w:spacing w:after="0" w:line="240" w:lineRule="auto"/>
        <w:jc w:val="both"/>
        <w:rPr>
          <w:rFonts w:ascii="Times New Roman" w:hAnsi="Times New Roman"/>
          <w:sz w:val="24"/>
          <w:szCs w:val="24"/>
          <w:lang w:val="en-GB"/>
        </w:rPr>
      </w:pPr>
      <w:r w:rsidRPr="004C49AF">
        <w:rPr>
          <w:rFonts w:ascii="Times New Roman" w:hAnsi="Times New Roman"/>
          <w:bCs/>
          <w:sz w:val="24"/>
          <w:szCs w:val="24"/>
          <w:lang w:val="en-GB"/>
        </w:rPr>
        <w:t>Flores</w:t>
      </w:r>
      <w:r w:rsidRPr="004C49AF">
        <w:rPr>
          <w:rFonts w:ascii="Times New Roman" w:hAnsi="Times New Roman"/>
          <w:sz w:val="24"/>
          <w:szCs w:val="24"/>
          <w:lang w:val="en-GB"/>
        </w:rPr>
        <w:t>-</w:t>
      </w:r>
      <w:r w:rsidRPr="004C49AF">
        <w:rPr>
          <w:rFonts w:ascii="Times New Roman" w:hAnsi="Times New Roman"/>
          <w:bCs/>
          <w:sz w:val="24"/>
          <w:szCs w:val="24"/>
          <w:lang w:val="en-GB"/>
        </w:rPr>
        <w:t>Crespo</w:t>
      </w:r>
      <w:r w:rsidRPr="004C49AF">
        <w:rPr>
          <w:rFonts w:ascii="Times New Roman" w:hAnsi="Times New Roman"/>
          <w:sz w:val="24"/>
          <w:szCs w:val="24"/>
          <w:lang w:val="en-GB"/>
        </w:rPr>
        <w:t xml:space="preserve">, P. (2007) Situating education in the human capabilities approach. In M. </w:t>
      </w:r>
      <w:r w:rsidRPr="004C49AF">
        <w:rPr>
          <w:rFonts w:ascii="Times New Roman" w:hAnsi="Times New Roman"/>
          <w:bCs/>
          <w:sz w:val="24"/>
          <w:szCs w:val="24"/>
          <w:lang w:val="en-GB"/>
        </w:rPr>
        <w:t>Walker</w:t>
      </w:r>
      <w:r w:rsidRPr="004C49AF">
        <w:rPr>
          <w:rFonts w:ascii="Times New Roman" w:hAnsi="Times New Roman"/>
          <w:sz w:val="24"/>
          <w:szCs w:val="24"/>
          <w:lang w:val="en-GB"/>
        </w:rPr>
        <w:t xml:space="preserve"> and E. </w:t>
      </w:r>
      <w:r w:rsidRPr="004C49AF">
        <w:rPr>
          <w:rFonts w:ascii="Times New Roman" w:hAnsi="Times New Roman"/>
          <w:bCs/>
          <w:sz w:val="24"/>
          <w:szCs w:val="24"/>
          <w:lang w:val="en-GB"/>
        </w:rPr>
        <w:t>Unterhalter</w:t>
      </w:r>
      <w:r w:rsidRPr="004C49AF">
        <w:rPr>
          <w:rFonts w:ascii="Times New Roman" w:hAnsi="Times New Roman"/>
          <w:sz w:val="24"/>
          <w:szCs w:val="24"/>
          <w:lang w:val="en-GB"/>
        </w:rPr>
        <w:t xml:space="preserve"> (Eds) </w:t>
      </w:r>
      <w:r w:rsidRPr="004C49AF">
        <w:rPr>
          <w:rFonts w:ascii="Times New Roman" w:hAnsi="Times New Roman"/>
          <w:i/>
          <w:sz w:val="24"/>
          <w:szCs w:val="24"/>
          <w:lang w:val="en-GB" w:eastAsia="en-GB"/>
        </w:rPr>
        <w:t>Amartya Sen’s Capability Approach and Social Justice in Education</w:t>
      </w:r>
      <w:r w:rsidRPr="004C49AF">
        <w:rPr>
          <w:rFonts w:ascii="Times New Roman" w:hAnsi="Times New Roman"/>
          <w:sz w:val="24"/>
          <w:szCs w:val="24"/>
          <w:lang w:val="en-GB" w:eastAsia="en-GB"/>
        </w:rPr>
        <w:t>. Basingstoke: Palgrave Macmillan.</w:t>
      </w:r>
    </w:p>
    <w:p w:rsidR="00A76A79" w:rsidRPr="004C49AF" w:rsidRDefault="00A76A79" w:rsidP="00A76A79">
      <w:pPr>
        <w:tabs>
          <w:tab w:val="left" w:pos="6660"/>
        </w:tabs>
        <w:autoSpaceDE w:val="0"/>
        <w:autoSpaceDN w:val="0"/>
        <w:adjustRightInd w:val="0"/>
        <w:spacing w:after="0" w:line="240" w:lineRule="auto"/>
        <w:ind w:left="540" w:hanging="540"/>
        <w:jc w:val="both"/>
        <w:rPr>
          <w:rFonts w:ascii="Times New Roman" w:hAnsi="Times New Roman"/>
          <w:bCs/>
          <w:sz w:val="24"/>
          <w:szCs w:val="24"/>
          <w:lang w:val="en-GB"/>
        </w:rPr>
      </w:pPr>
    </w:p>
    <w:p w:rsidR="00E214B4" w:rsidRPr="004C49AF" w:rsidRDefault="00E214B4" w:rsidP="00E214B4">
      <w:pPr>
        <w:rPr>
          <w:rFonts w:ascii="Times New Roman" w:hAnsi="Times New Roman"/>
          <w:sz w:val="24"/>
          <w:szCs w:val="24"/>
        </w:rPr>
      </w:pPr>
      <w:r w:rsidRPr="004C49AF">
        <w:rPr>
          <w:rFonts w:ascii="Times New Roman" w:hAnsi="Times New Roman"/>
          <w:sz w:val="24"/>
          <w:szCs w:val="24"/>
        </w:rPr>
        <w:t xml:space="preserve">Lozano, J.F., Boni, A., Peris, J. and Hueso, A. 2012. Competencies in Higher Education: A Critical Analysis from the Capabilities Approach. </w:t>
      </w:r>
      <w:r w:rsidRPr="004C49AF">
        <w:rPr>
          <w:rFonts w:ascii="Times New Roman" w:hAnsi="Times New Roman"/>
          <w:sz w:val="24"/>
          <w:szCs w:val="24"/>
        </w:rPr>
        <w:tab/>
      </w:r>
      <w:r w:rsidRPr="004C49AF">
        <w:rPr>
          <w:rFonts w:ascii="Times New Roman" w:hAnsi="Times New Roman"/>
          <w:i/>
          <w:sz w:val="24"/>
          <w:szCs w:val="24"/>
        </w:rPr>
        <w:t xml:space="preserve">Journal of Philosophy of Education, </w:t>
      </w:r>
      <w:r w:rsidRPr="004C49AF">
        <w:rPr>
          <w:rFonts w:ascii="Times New Roman" w:hAnsi="Times New Roman"/>
          <w:sz w:val="24"/>
          <w:szCs w:val="24"/>
        </w:rPr>
        <w:t>46, 1, 132-147.</w:t>
      </w:r>
      <w:r w:rsidRPr="004C49AF">
        <w:rPr>
          <w:rFonts w:ascii="Times New Roman" w:hAnsi="Times New Roman"/>
          <w:sz w:val="24"/>
          <w:szCs w:val="24"/>
        </w:rPr>
        <w:tab/>
      </w:r>
    </w:p>
    <w:p w:rsidR="00A76A79" w:rsidRPr="004C49AF" w:rsidRDefault="00A76A79" w:rsidP="009965D1">
      <w:pPr>
        <w:tabs>
          <w:tab w:val="left" w:pos="6660"/>
        </w:tabs>
        <w:autoSpaceDE w:val="0"/>
        <w:autoSpaceDN w:val="0"/>
        <w:adjustRightInd w:val="0"/>
        <w:spacing w:after="0" w:line="240" w:lineRule="auto"/>
        <w:jc w:val="both"/>
        <w:rPr>
          <w:rFonts w:ascii="Times New Roman" w:hAnsi="Times New Roman"/>
          <w:bCs/>
          <w:sz w:val="24"/>
          <w:szCs w:val="24"/>
          <w:lang w:val="en-GB"/>
        </w:rPr>
      </w:pPr>
      <w:r w:rsidRPr="004C49AF">
        <w:rPr>
          <w:rFonts w:ascii="Times New Roman" w:hAnsi="Times New Roman"/>
          <w:bCs/>
          <w:sz w:val="24"/>
          <w:szCs w:val="24"/>
          <w:lang w:val="en-GB"/>
        </w:rPr>
        <w:t xml:space="preserve">McCowan, T. and E. Unterhalter (2013) “Education, Citizenship and Deliberative Democracy: Sen’s Capability Perspective” in </w:t>
      </w:r>
      <w:r w:rsidRPr="004C49AF">
        <w:rPr>
          <w:rFonts w:ascii="Times New Roman" w:hAnsi="Times New Roman"/>
          <w:bCs/>
          <w:i/>
          <w:sz w:val="24"/>
          <w:szCs w:val="24"/>
          <w:lang w:val="en-GB"/>
        </w:rPr>
        <w:t xml:space="preserve">Education for Civic and Political Participation. </w:t>
      </w:r>
      <w:r w:rsidRPr="004C49AF">
        <w:rPr>
          <w:rFonts w:ascii="Times New Roman" w:hAnsi="Times New Roman"/>
          <w:bCs/>
          <w:i/>
          <w:sz w:val="24"/>
          <w:szCs w:val="24"/>
          <w:lang w:val="en-GB"/>
        </w:rPr>
        <w:lastRenderedPageBreak/>
        <w:t>A Critical Approach</w:t>
      </w:r>
      <w:r w:rsidRPr="004C49AF">
        <w:rPr>
          <w:rFonts w:ascii="Times New Roman" w:hAnsi="Times New Roman"/>
          <w:bCs/>
          <w:sz w:val="24"/>
          <w:szCs w:val="24"/>
          <w:lang w:val="en-GB"/>
        </w:rPr>
        <w:t xml:space="preserve">, </w:t>
      </w:r>
      <w:hyperlink r:id="rId9" w:tooltip="search for all books by Reinhold Hedtke" w:history="1">
        <w:r w:rsidRPr="004C49AF">
          <w:rPr>
            <w:rFonts w:ascii="Times New Roman" w:hAnsi="Times New Roman"/>
            <w:sz w:val="24"/>
            <w:szCs w:val="24"/>
            <w:lang w:val="en-GB"/>
          </w:rPr>
          <w:t>Hedtke</w:t>
        </w:r>
      </w:hyperlink>
      <w:r w:rsidRPr="004C49AF">
        <w:rPr>
          <w:rFonts w:ascii="Times New Roman" w:hAnsi="Times New Roman"/>
          <w:sz w:val="24"/>
          <w:szCs w:val="24"/>
          <w:lang w:val="en-GB"/>
        </w:rPr>
        <w:t xml:space="preserve">, R. And </w:t>
      </w:r>
      <w:r w:rsidRPr="004C49AF">
        <w:rPr>
          <w:rFonts w:ascii="Times New Roman" w:hAnsi="Times New Roman"/>
          <w:bCs/>
          <w:sz w:val="24"/>
          <w:szCs w:val="24"/>
          <w:lang w:val="en-GB"/>
        </w:rPr>
        <w:t xml:space="preserve"> </w:t>
      </w:r>
      <w:hyperlink r:id="rId10" w:tooltip="search for all books by Tatiana Zimenkova" w:history="1">
        <w:r w:rsidRPr="004C49AF">
          <w:rPr>
            <w:rFonts w:ascii="Times New Roman" w:hAnsi="Times New Roman"/>
            <w:sz w:val="24"/>
            <w:szCs w:val="24"/>
            <w:lang w:val="en-GB"/>
          </w:rPr>
          <w:t>T. Zimenkova</w:t>
        </w:r>
      </w:hyperlink>
      <w:r w:rsidRPr="004C49AF">
        <w:rPr>
          <w:rFonts w:ascii="Times New Roman" w:hAnsi="Times New Roman"/>
          <w:sz w:val="24"/>
          <w:szCs w:val="24"/>
          <w:lang w:val="en-GB"/>
        </w:rPr>
        <w:t xml:space="preserve"> (eds), </w:t>
      </w:r>
      <w:r w:rsidRPr="004C49AF">
        <w:rPr>
          <w:rFonts w:ascii="Times New Roman" w:hAnsi="Times New Roman"/>
          <w:bCs/>
          <w:sz w:val="24"/>
          <w:szCs w:val="24"/>
          <w:lang w:val="en-GB"/>
        </w:rPr>
        <w:t xml:space="preserve">Routledge: New York and London, pp. </w:t>
      </w:r>
      <w:r w:rsidRPr="004C49AF">
        <w:rPr>
          <w:rFonts w:ascii="Times New Roman" w:hAnsi="Times New Roman"/>
          <w:sz w:val="24"/>
          <w:szCs w:val="24"/>
          <w:lang w:val="en-GB"/>
        </w:rPr>
        <w:t>135-144.</w:t>
      </w:r>
    </w:p>
    <w:p w:rsidR="00A76A79" w:rsidRPr="004C49AF" w:rsidRDefault="00A76A79" w:rsidP="00A76A79">
      <w:pPr>
        <w:spacing w:before="120"/>
        <w:ind w:left="567" w:hanging="567"/>
        <w:contextualSpacing/>
        <w:rPr>
          <w:rFonts w:ascii="Times New Roman" w:hAnsi="Times New Roman"/>
          <w:sz w:val="24"/>
          <w:szCs w:val="24"/>
          <w:lang w:val="en-GB"/>
        </w:rPr>
      </w:pPr>
    </w:p>
    <w:p w:rsidR="00A76A79" w:rsidRPr="004C49AF" w:rsidRDefault="00A76A79" w:rsidP="00A76A79">
      <w:pPr>
        <w:tabs>
          <w:tab w:val="left" w:pos="6660"/>
        </w:tabs>
        <w:autoSpaceDE w:val="0"/>
        <w:autoSpaceDN w:val="0"/>
        <w:adjustRightInd w:val="0"/>
        <w:spacing w:after="0" w:line="240" w:lineRule="auto"/>
        <w:ind w:left="540" w:hanging="540"/>
        <w:jc w:val="both"/>
        <w:rPr>
          <w:rFonts w:ascii="Times New Roman" w:hAnsi="Times New Roman"/>
          <w:sz w:val="24"/>
          <w:szCs w:val="24"/>
          <w:lang w:val="en-GB" w:eastAsia="en-GB"/>
        </w:rPr>
      </w:pPr>
    </w:p>
    <w:p w:rsidR="00A76A79" w:rsidRPr="004C49AF" w:rsidRDefault="00A76A79" w:rsidP="00A76A79">
      <w:pPr>
        <w:jc w:val="both"/>
        <w:rPr>
          <w:rFonts w:ascii="Times New Roman" w:hAnsi="Times New Roman"/>
          <w:iCs/>
          <w:sz w:val="24"/>
          <w:szCs w:val="24"/>
          <w:lang w:val="en-GB" w:eastAsia="es-ES"/>
        </w:rPr>
      </w:pPr>
      <w:r w:rsidRPr="004C49AF">
        <w:rPr>
          <w:rFonts w:ascii="Times New Roman" w:hAnsi="Times New Roman"/>
          <w:sz w:val="24"/>
          <w:szCs w:val="24"/>
          <w:lang w:val="en-GB" w:eastAsia="es-ES"/>
        </w:rPr>
        <w:t xml:space="preserve">OCDE (2013) </w:t>
      </w:r>
      <w:r w:rsidRPr="004C49AF">
        <w:rPr>
          <w:rFonts w:ascii="Times New Roman" w:hAnsi="Times New Roman"/>
          <w:i/>
          <w:iCs/>
          <w:sz w:val="24"/>
          <w:szCs w:val="24"/>
          <w:lang w:val="en-GB" w:eastAsia="es-ES"/>
        </w:rPr>
        <w:t>Education at a Glance 2013: OECD Indicators</w:t>
      </w:r>
      <w:r w:rsidRPr="004C49AF">
        <w:rPr>
          <w:rFonts w:ascii="Times New Roman" w:hAnsi="Times New Roman"/>
          <w:iCs/>
          <w:sz w:val="24"/>
          <w:szCs w:val="24"/>
          <w:lang w:val="en-GB" w:eastAsia="es-ES"/>
        </w:rPr>
        <w:t>. OCDE: Paris.</w:t>
      </w:r>
    </w:p>
    <w:p w:rsidR="00A76A79" w:rsidRPr="004C49AF" w:rsidRDefault="00A76A79" w:rsidP="00A76A79">
      <w:pPr>
        <w:jc w:val="both"/>
        <w:rPr>
          <w:rFonts w:ascii="Times New Roman" w:hAnsi="Times New Roman"/>
          <w:bCs/>
          <w:sz w:val="24"/>
          <w:szCs w:val="24"/>
          <w:lang w:val="en-GB"/>
        </w:rPr>
      </w:pPr>
      <w:r w:rsidRPr="004C49AF">
        <w:rPr>
          <w:rFonts w:ascii="Times New Roman" w:hAnsi="Times New Roman"/>
          <w:bCs/>
          <w:sz w:val="24"/>
          <w:szCs w:val="24"/>
          <w:lang w:val="en-GB"/>
        </w:rPr>
        <w:t xml:space="preserve">Robeyns, I., 2005. The Capability Approach: a theoretical survey. Journal of Human Development, 6 (1), pp. 93-117. </w:t>
      </w:r>
    </w:p>
    <w:p w:rsidR="00A76A79" w:rsidRPr="004C49AF" w:rsidRDefault="00A76A79" w:rsidP="009965D1">
      <w:pPr>
        <w:tabs>
          <w:tab w:val="left" w:pos="6660"/>
        </w:tabs>
        <w:autoSpaceDE w:val="0"/>
        <w:autoSpaceDN w:val="0"/>
        <w:adjustRightInd w:val="0"/>
        <w:spacing w:after="0" w:line="240" w:lineRule="auto"/>
        <w:jc w:val="both"/>
        <w:rPr>
          <w:rFonts w:ascii="Times New Roman" w:hAnsi="Times New Roman"/>
          <w:sz w:val="24"/>
          <w:szCs w:val="24"/>
          <w:lang w:val="en-GB" w:eastAsia="en-GB"/>
        </w:rPr>
      </w:pPr>
      <w:r w:rsidRPr="004C49AF">
        <w:rPr>
          <w:rFonts w:ascii="Times New Roman" w:hAnsi="Times New Roman"/>
          <w:sz w:val="24"/>
          <w:szCs w:val="24"/>
          <w:lang w:val="en-GB" w:eastAsia="en-GB"/>
        </w:rPr>
        <w:t xml:space="preserve">Saito, M. (2003) Amartya Sen’s Capability Approach to Education: A Critical Exploration, </w:t>
      </w:r>
      <w:r w:rsidRPr="004C49AF">
        <w:rPr>
          <w:rFonts w:ascii="Times New Roman" w:hAnsi="Times New Roman"/>
          <w:i/>
          <w:iCs/>
          <w:sz w:val="24"/>
          <w:szCs w:val="24"/>
          <w:lang w:val="en-GB" w:eastAsia="en-GB"/>
        </w:rPr>
        <w:t xml:space="preserve">Journal of Philosophy of Education, </w:t>
      </w:r>
      <w:r w:rsidRPr="004C49AF">
        <w:rPr>
          <w:rFonts w:ascii="Times New Roman" w:hAnsi="Times New Roman"/>
          <w:sz w:val="24"/>
          <w:szCs w:val="24"/>
          <w:lang w:val="en-GB" w:eastAsia="en-GB"/>
        </w:rPr>
        <w:t>37 (1), 17-33.</w:t>
      </w:r>
      <w:r w:rsidRPr="004C49AF">
        <w:rPr>
          <w:rFonts w:ascii="Times New Roman" w:hAnsi="Times New Roman"/>
          <w:sz w:val="24"/>
          <w:szCs w:val="24"/>
          <w:lang w:val="en-GB"/>
        </w:rPr>
        <w:t xml:space="preserve"> </w:t>
      </w:r>
    </w:p>
    <w:p w:rsidR="00A76A79" w:rsidRPr="004C49AF" w:rsidRDefault="00A76A79" w:rsidP="00A76A79">
      <w:pPr>
        <w:tabs>
          <w:tab w:val="left" w:pos="6660"/>
        </w:tabs>
        <w:spacing w:after="0" w:line="240" w:lineRule="auto"/>
        <w:ind w:left="540" w:hanging="540"/>
        <w:jc w:val="both"/>
        <w:rPr>
          <w:rFonts w:ascii="Times New Roman" w:hAnsi="Times New Roman"/>
          <w:sz w:val="24"/>
          <w:szCs w:val="24"/>
          <w:lang w:val="en-GB"/>
        </w:rPr>
      </w:pPr>
    </w:p>
    <w:p w:rsidR="00A76A79" w:rsidRPr="004C49AF" w:rsidRDefault="00A76A79" w:rsidP="00A76A79">
      <w:pPr>
        <w:jc w:val="both"/>
        <w:rPr>
          <w:rFonts w:ascii="Times New Roman" w:hAnsi="Times New Roman"/>
          <w:bCs/>
          <w:sz w:val="24"/>
          <w:szCs w:val="24"/>
          <w:lang w:val="en-GB"/>
        </w:rPr>
      </w:pPr>
      <w:r w:rsidRPr="004C49AF">
        <w:rPr>
          <w:rFonts w:ascii="Times New Roman" w:hAnsi="Times New Roman"/>
          <w:bCs/>
          <w:sz w:val="24"/>
          <w:szCs w:val="24"/>
          <w:lang w:val="en-GB"/>
        </w:rPr>
        <w:t xml:space="preserve">Sen, A., (1985). </w:t>
      </w:r>
      <w:r w:rsidRPr="004C49AF">
        <w:rPr>
          <w:rFonts w:ascii="Times New Roman" w:hAnsi="Times New Roman"/>
          <w:bCs/>
          <w:i/>
          <w:sz w:val="24"/>
          <w:szCs w:val="24"/>
          <w:lang w:val="en-GB"/>
        </w:rPr>
        <w:t>Commodities and capabilities.</w:t>
      </w:r>
      <w:r w:rsidRPr="004C49AF">
        <w:rPr>
          <w:rFonts w:ascii="Times New Roman" w:hAnsi="Times New Roman"/>
          <w:bCs/>
          <w:sz w:val="24"/>
          <w:szCs w:val="24"/>
          <w:lang w:val="en-GB"/>
        </w:rPr>
        <w:t xml:space="preserve"> Amsterdam: North Holland.</w:t>
      </w:r>
    </w:p>
    <w:p w:rsidR="00A76A79" w:rsidRPr="004C49AF" w:rsidRDefault="00A76A79" w:rsidP="00A76A79">
      <w:pPr>
        <w:tabs>
          <w:tab w:val="left" w:pos="6660"/>
        </w:tabs>
        <w:spacing w:after="0" w:line="240" w:lineRule="auto"/>
        <w:ind w:left="540" w:hanging="540"/>
        <w:jc w:val="both"/>
        <w:rPr>
          <w:rFonts w:ascii="Times New Roman" w:hAnsi="Times New Roman"/>
          <w:sz w:val="24"/>
          <w:szCs w:val="24"/>
          <w:lang w:val="en-GB"/>
        </w:rPr>
      </w:pPr>
      <w:r w:rsidRPr="004C49AF">
        <w:rPr>
          <w:rFonts w:ascii="Times New Roman" w:hAnsi="Times New Roman"/>
          <w:sz w:val="24"/>
          <w:szCs w:val="24"/>
          <w:lang w:val="en-GB"/>
        </w:rPr>
        <w:t xml:space="preserve">Sen, A. (1992) </w:t>
      </w:r>
      <w:r w:rsidRPr="004C49AF">
        <w:rPr>
          <w:rFonts w:ascii="Times New Roman" w:hAnsi="Times New Roman"/>
          <w:i/>
          <w:sz w:val="24"/>
          <w:szCs w:val="24"/>
          <w:lang w:val="en-GB"/>
        </w:rPr>
        <w:t>Inequality Re-examined,</w:t>
      </w:r>
      <w:r w:rsidRPr="004C49AF">
        <w:rPr>
          <w:rFonts w:ascii="Times New Roman" w:hAnsi="Times New Roman"/>
          <w:sz w:val="24"/>
          <w:szCs w:val="24"/>
          <w:lang w:val="en-GB"/>
        </w:rPr>
        <w:t xml:space="preserve"> Oxford University Press, Oxford</w:t>
      </w:r>
    </w:p>
    <w:p w:rsidR="00A76A79" w:rsidRPr="004C49AF" w:rsidRDefault="00A76A79" w:rsidP="00A76A79">
      <w:pPr>
        <w:tabs>
          <w:tab w:val="left" w:pos="6660"/>
        </w:tabs>
        <w:spacing w:after="0" w:line="240" w:lineRule="auto"/>
        <w:ind w:left="540" w:hanging="540"/>
        <w:jc w:val="both"/>
        <w:rPr>
          <w:rFonts w:ascii="Times New Roman" w:eastAsia="TimesNewRoman" w:hAnsi="Times New Roman"/>
          <w:sz w:val="24"/>
          <w:szCs w:val="24"/>
          <w:lang w:val="en-GB" w:eastAsia="es-ES"/>
        </w:rPr>
      </w:pPr>
    </w:p>
    <w:p w:rsidR="00A76A79" w:rsidRPr="004C49AF" w:rsidRDefault="00A76A79" w:rsidP="00A76A79">
      <w:pPr>
        <w:tabs>
          <w:tab w:val="left" w:pos="6660"/>
        </w:tabs>
        <w:spacing w:after="0" w:line="240" w:lineRule="auto"/>
        <w:ind w:left="540" w:hanging="540"/>
        <w:jc w:val="both"/>
        <w:rPr>
          <w:rFonts w:ascii="Times New Roman" w:hAnsi="Times New Roman"/>
          <w:sz w:val="24"/>
          <w:szCs w:val="24"/>
          <w:lang w:val="en-GB"/>
        </w:rPr>
      </w:pPr>
      <w:r w:rsidRPr="004C49AF">
        <w:rPr>
          <w:rFonts w:ascii="Times New Roman" w:hAnsi="Times New Roman"/>
          <w:sz w:val="24"/>
          <w:szCs w:val="24"/>
          <w:lang w:val="en-GB"/>
        </w:rPr>
        <w:t xml:space="preserve">Sen, A. (1999a) </w:t>
      </w:r>
      <w:r w:rsidRPr="004C49AF">
        <w:rPr>
          <w:rFonts w:ascii="Times New Roman" w:hAnsi="Times New Roman"/>
          <w:i/>
          <w:sz w:val="24"/>
          <w:szCs w:val="24"/>
          <w:lang w:val="en-GB"/>
        </w:rPr>
        <w:t>Development as Freedom</w:t>
      </w:r>
      <w:r w:rsidRPr="004C49AF">
        <w:rPr>
          <w:rFonts w:ascii="Times New Roman" w:hAnsi="Times New Roman"/>
          <w:sz w:val="24"/>
          <w:szCs w:val="24"/>
          <w:lang w:val="en-GB"/>
        </w:rPr>
        <w:t>. New York: Knopf.</w:t>
      </w:r>
    </w:p>
    <w:p w:rsidR="00A76A79" w:rsidRPr="004C49AF" w:rsidRDefault="00A76A79" w:rsidP="00A76A79">
      <w:pPr>
        <w:tabs>
          <w:tab w:val="left" w:pos="6660"/>
        </w:tabs>
        <w:autoSpaceDE w:val="0"/>
        <w:autoSpaceDN w:val="0"/>
        <w:adjustRightInd w:val="0"/>
        <w:spacing w:after="0" w:line="240" w:lineRule="auto"/>
        <w:ind w:left="540" w:hanging="540"/>
        <w:jc w:val="both"/>
        <w:rPr>
          <w:rFonts w:ascii="Times New Roman" w:hAnsi="Times New Roman"/>
          <w:iCs/>
          <w:sz w:val="24"/>
          <w:szCs w:val="24"/>
          <w:lang w:val="en-GB"/>
        </w:rPr>
      </w:pPr>
    </w:p>
    <w:p w:rsidR="00A76A79" w:rsidRPr="004C49AF" w:rsidRDefault="00A76A79" w:rsidP="00A76A79">
      <w:pPr>
        <w:tabs>
          <w:tab w:val="left" w:pos="6660"/>
        </w:tabs>
        <w:autoSpaceDE w:val="0"/>
        <w:autoSpaceDN w:val="0"/>
        <w:adjustRightInd w:val="0"/>
        <w:spacing w:after="0" w:line="240" w:lineRule="auto"/>
        <w:ind w:left="540" w:hanging="540"/>
        <w:jc w:val="both"/>
        <w:rPr>
          <w:rFonts w:ascii="Times New Roman" w:hAnsi="Times New Roman"/>
          <w:sz w:val="24"/>
          <w:szCs w:val="24"/>
          <w:lang w:val="en-GB" w:eastAsia="en-GB"/>
        </w:rPr>
      </w:pPr>
      <w:r w:rsidRPr="004C49AF">
        <w:rPr>
          <w:rFonts w:ascii="Times New Roman" w:hAnsi="Times New Roman"/>
          <w:iCs/>
          <w:sz w:val="24"/>
          <w:szCs w:val="24"/>
          <w:lang w:val="en-GB"/>
        </w:rPr>
        <w:t>Sen, A. (1999b) Democracy as a Universal Value</w:t>
      </w:r>
      <w:r w:rsidRPr="004C49AF">
        <w:rPr>
          <w:rFonts w:ascii="Times New Roman" w:hAnsi="Times New Roman"/>
          <w:i/>
          <w:iCs/>
          <w:sz w:val="24"/>
          <w:szCs w:val="24"/>
          <w:lang w:val="en-GB"/>
        </w:rPr>
        <w:t xml:space="preserve">. </w:t>
      </w:r>
      <w:r w:rsidRPr="004C49AF">
        <w:rPr>
          <w:rFonts w:ascii="Times New Roman" w:hAnsi="Times New Roman"/>
          <w:i/>
          <w:sz w:val="24"/>
          <w:szCs w:val="24"/>
          <w:lang w:val="en-GB"/>
        </w:rPr>
        <w:t>Journal of Democracy</w:t>
      </w:r>
      <w:r w:rsidRPr="004C49AF">
        <w:rPr>
          <w:rFonts w:ascii="Times New Roman" w:hAnsi="Times New Roman"/>
          <w:sz w:val="24"/>
          <w:szCs w:val="24"/>
          <w:lang w:val="en-GB"/>
        </w:rPr>
        <w:t>. 10 (3), 3-17.</w:t>
      </w:r>
    </w:p>
    <w:p w:rsidR="00A76A79" w:rsidRPr="004C49AF" w:rsidRDefault="00A76A79" w:rsidP="00A76A79">
      <w:pPr>
        <w:tabs>
          <w:tab w:val="left" w:pos="6660"/>
        </w:tabs>
        <w:autoSpaceDE w:val="0"/>
        <w:autoSpaceDN w:val="0"/>
        <w:adjustRightInd w:val="0"/>
        <w:spacing w:after="0" w:line="240" w:lineRule="auto"/>
        <w:ind w:left="540" w:hanging="540"/>
        <w:jc w:val="both"/>
        <w:rPr>
          <w:rFonts w:ascii="Times New Roman" w:hAnsi="Times New Roman"/>
          <w:sz w:val="24"/>
          <w:szCs w:val="24"/>
          <w:lang w:val="en-GB" w:eastAsia="en-GB"/>
        </w:rPr>
      </w:pPr>
    </w:p>
    <w:p w:rsidR="00A76A79" w:rsidRPr="004C49AF" w:rsidRDefault="00A76A79" w:rsidP="00A76A79">
      <w:pPr>
        <w:tabs>
          <w:tab w:val="left" w:pos="6660"/>
        </w:tabs>
        <w:autoSpaceDE w:val="0"/>
        <w:autoSpaceDN w:val="0"/>
        <w:adjustRightInd w:val="0"/>
        <w:spacing w:after="0" w:line="240" w:lineRule="auto"/>
        <w:ind w:left="540" w:hanging="540"/>
        <w:jc w:val="both"/>
        <w:rPr>
          <w:rFonts w:ascii="Times New Roman" w:hAnsi="Times New Roman"/>
          <w:sz w:val="24"/>
          <w:szCs w:val="24"/>
          <w:lang w:val="en-GB" w:eastAsia="en-GB"/>
        </w:rPr>
      </w:pPr>
      <w:r w:rsidRPr="004C49AF">
        <w:rPr>
          <w:rFonts w:ascii="Times New Roman" w:hAnsi="Times New Roman"/>
          <w:sz w:val="24"/>
          <w:szCs w:val="24"/>
          <w:lang w:val="en-GB" w:eastAsia="en-GB"/>
        </w:rPr>
        <w:t xml:space="preserve">UNDP, (1990), </w:t>
      </w:r>
      <w:r w:rsidRPr="004C49AF">
        <w:rPr>
          <w:rFonts w:ascii="Times New Roman" w:hAnsi="Times New Roman"/>
          <w:i/>
          <w:sz w:val="24"/>
          <w:szCs w:val="24"/>
          <w:lang w:val="en-GB" w:eastAsia="en-GB"/>
        </w:rPr>
        <w:t>Human Development Report</w:t>
      </w:r>
      <w:r w:rsidRPr="004C49AF">
        <w:rPr>
          <w:rFonts w:ascii="Times New Roman" w:hAnsi="Times New Roman"/>
          <w:sz w:val="24"/>
          <w:szCs w:val="24"/>
          <w:lang w:val="en-GB" w:eastAsia="en-GB"/>
        </w:rPr>
        <w:t>, UNDP: New York.</w:t>
      </w:r>
    </w:p>
    <w:p w:rsidR="00A76A79" w:rsidRPr="004C49AF" w:rsidRDefault="00A76A79" w:rsidP="00A76A79">
      <w:pPr>
        <w:tabs>
          <w:tab w:val="left" w:pos="6660"/>
        </w:tabs>
        <w:autoSpaceDE w:val="0"/>
        <w:autoSpaceDN w:val="0"/>
        <w:adjustRightInd w:val="0"/>
        <w:spacing w:after="0" w:line="240" w:lineRule="auto"/>
        <w:ind w:left="540" w:hanging="540"/>
        <w:jc w:val="both"/>
        <w:rPr>
          <w:rFonts w:ascii="Times New Roman" w:hAnsi="Times New Roman"/>
          <w:sz w:val="24"/>
          <w:szCs w:val="24"/>
          <w:lang w:val="en-GB" w:eastAsia="en-GB"/>
        </w:rPr>
      </w:pPr>
    </w:p>
    <w:p w:rsidR="00E214B4" w:rsidRPr="004C49AF" w:rsidRDefault="00E214B4" w:rsidP="00E214B4">
      <w:pPr>
        <w:spacing w:before="120"/>
        <w:rPr>
          <w:rFonts w:ascii="Times New Roman" w:hAnsi="Times New Roman"/>
          <w:sz w:val="24"/>
          <w:szCs w:val="24"/>
        </w:rPr>
      </w:pPr>
      <w:r w:rsidRPr="004C49AF">
        <w:rPr>
          <w:rFonts w:ascii="Times New Roman" w:hAnsi="Times New Roman"/>
          <w:sz w:val="24"/>
          <w:szCs w:val="24"/>
        </w:rPr>
        <w:t xml:space="preserve">Unterhalter, E., 2009.  Education. In:  S. Deneulin and L. Shahani, eds. 2009. </w:t>
      </w:r>
      <w:r w:rsidRPr="004C49AF">
        <w:rPr>
          <w:rFonts w:ascii="Times New Roman" w:hAnsi="Times New Roman"/>
          <w:i/>
          <w:sz w:val="24"/>
          <w:szCs w:val="24"/>
        </w:rPr>
        <w:t>An introduction to the human development and capability approach</w:t>
      </w:r>
      <w:r w:rsidRPr="004C49AF">
        <w:rPr>
          <w:rFonts w:ascii="Times New Roman" w:hAnsi="Times New Roman"/>
          <w:sz w:val="24"/>
          <w:szCs w:val="24"/>
        </w:rPr>
        <w:t>. London: Earthscan, pp. 207-227.</w:t>
      </w:r>
    </w:p>
    <w:p w:rsidR="00E214B4" w:rsidRPr="004C49AF" w:rsidRDefault="00E214B4" w:rsidP="009965D1">
      <w:pPr>
        <w:tabs>
          <w:tab w:val="left" w:pos="6660"/>
        </w:tabs>
        <w:autoSpaceDE w:val="0"/>
        <w:autoSpaceDN w:val="0"/>
        <w:adjustRightInd w:val="0"/>
        <w:spacing w:after="0" w:line="240" w:lineRule="auto"/>
        <w:jc w:val="both"/>
        <w:rPr>
          <w:rFonts w:ascii="Times New Roman" w:hAnsi="Times New Roman"/>
          <w:sz w:val="24"/>
          <w:szCs w:val="24"/>
          <w:lang w:val="en-GB" w:eastAsia="en-GB"/>
        </w:rPr>
      </w:pPr>
      <w:r w:rsidRPr="004C49AF">
        <w:rPr>
          <w:rFonts w:ascii="Times New Roman" w:hAnsi="Times New Roman"/>
          <w:sz w:val="24"/>
          <w:szCs w:val="24"/>
          <w:lang w:val="en-GB" w:eastAsia="en-GB"/>
        </w:rPr>
        <w:t>Unterhalter, E., Vaughan, R. and Walker, M.</w:t>
      </w:r>
      <w:r w:rsidRPr="004C49AF">
        <w:rPr>
          <w:rFonts w:ascii="Times New Roman" w:hAnsi="Times New Roman"/>
          <w:bCs/>
          <w:sz w:val="24"/>
          <w:szCs w:val="24"/>
          <w:lang w:val="en-GB" w:eastAsia="en-GB"/>
        </w:rPr>
        <w:t xml:space="preserve"> (2007) The Capability Approach and Education. </w:t>
      </w:r>
      <w:r w:rsidRPr="004C49AF">
        <w:rPr>
          <w:rFonts w:ascii="Times New Roman" w:hAnsi="Times New Roman"/>
          <w:i/>
          <w:iCs/>
          <w:sz w:val="24"/>
          <w:szCs w:val="24"/>
          <w:lang w:val="en-GB" w:eastAsia="en-GB"/>
        </w:rPr>
        <w:t>Prospero</w:t>
      </w:r>
      <w:r w:rsidRPr="004C49AF">
        <w:rPr>
          <w:rFonts w:ascii="Times New Roman" w:hAnsi="Times New Roman"/>
          <w:sz w:val="24"/>
          <w:szCs w:val="24"/>
          <w:lang w:val="en-GB" w:eastAsia="en-GB"/>
        </w:rPr>
        <w:t>, 13 (3), 13-21.</w:t>
      </w:r>
    </w:p>
    <w:p w:rsidR="00E214B4" w:rsidRPr="004C49AF" w:rsidRDefault="00E214B4" w:rsidP="00E214B4">
      <w:pPr>
        <w:tabs>
          <w:tab w:val="left" w:pos="6660"/>
        </w:tabs>
        <w:autoSpaceDE w:val="0"/>
        <w:autoSpaceDN w:val="0"/>
        <w:adjustRightInd w:val="0"/>
        <w:spacing w:after="0" w:line="240" w:lineRule="auto"/>
        <w:ind w:left="540" w:hanging="540"/>
        <w:jc w:val="both"/>
        <w:rPr>
          <w:rFonts w:ascii="Times New Roman" w:hAnsi="Times New Roman"/>
          <w:sz w:val="24"/>
          <w:szCs w:val="24"/>
          <w:lang w:val="en-GB" w:eastAsia="en-GB"/>
        </w:rPr>
      </w:pPr>
    </w:p>
    <w:p w:rsidR="00A76A79" w:rsidRPr="004C49AF" w:rsidRDefault="00A76A79" w:rsidP="00A76A79">
      <w:pPr>
        <w:jc w:val="both"/>
        <w:rPr>
          <w:rFonts w:ascii="Times New Roman" w:hAnsi="Times New Roman"/>
          <w:sz w:val="24"/>
          <w:szCs w:val="24"/>
          <w:lang w:val="en-GB"/>
        </w:rPr>
      </w:pPr>
      <w:r w:rsidRPr="004C49AF">
        <w:rPr>
          <w:rFonts w:ascii="Times New Roman" w:hAnsi="Times New Roman"/>
          <w:bCs/>
          <w:sz w:val="24"/>
          <w:szCs w:val="24"/>
          <w:lang w:val="en-GB"/>
        </w:rPr>
        <w:t>Walker, M</w:t>
      </w:r>
      <w:r w:rsidRPr="004C49AF">
        <w:rPr>
          <w:rFonts w:ascii="Times New Roman" w:hAnsi="Times New Roman"/>
          <w:sz w:val="24"/>
          <w:szCs w:val="24"/>
          <w:lang w:val="en-GB"/>
        </w:rPr>
        <w:t xml:space="preserve"> (2006) </w:t>
      </w:r>
      <w:r w:rsidRPr="004C49AF">
        <w:rPr>
          <w:rFonts w:ascii="Times New Roman" w:hAnsi="Times New Roman"/>
          <w:i/>
          <w:sz w:val="24"/>
          <w:szCs w:val="24"/>
          <w:lang w:val="en-GB"/>
        </w:rPr>
        <w:t>Higher Education Pedagogies</w:t>
      </w:r>
      <w:r w:rsidRPr="004C49AF">
        <w:rPr>
          <w:rFonts w:ascii="Times New Roman" w:hAnsi="Times New Roman"/>
          <w:sz w:val="24"/>
          <w:szCs w:val="24"/>
          <w:lang w:val="en-GB"/>
        </w:rPr>
        <w:t xml:space="preserve">: </w:t>
      </w:r>
      <w:r w:rsidRPr="004C49AF">
        <w:rPr>
          <w:rFonts w:ascii="Times New Roman" w:hAnsi="Times New Roman"/>
          <w:i/>
          <w:sz w:val="24"/>
          <w:szCs w:val="24"/>
          <w:lang w:val="en-GB"/>
        </w:rPr>
        <w:t>A Capabilities Approach</w:t>
      </w:r>
      <w:r w:rsidRPr="004C49AF">
        <w:rPr>
          <w:rFonts w:ascii="Times New Roman" w:hAnsi="Times New Roman"/>
          <w:sz w:val="24"/>
          <w:szCs w:val="24"/>
          <w:lang w:val="en-GB"/>
        </w:rPr>
        <w:t xml:space="preserve">  (Maidenhead: SRHE/Open University Press and McGraw-Hill) </w:t>
      </w:r>
    </w:p>
    <w:p w:rsidR="00A76A79" w:rsidRPr="004C49AF" w:rsidRDefault="00A76A79" w:rsidP="009965D1">
      <w:pPr>
        <w:tabs>
          <w:tab w:val="left" w:pos="6660"/>
        </w:tabs>
        <w:autoSpaceDE w:val="0"/>
        <w:autoSpaceDN w:val="0"/>
        <w:adjustRightInd w:val="0"/>
        <w:spacing w:after="0" w:line="240" w:lineRule="auto"/>
        <w:jc w:val="both"/>
        <w:rPr>
          <w:rFonts w:ascii="Times New Roman" w:hAnsi="Times New Roman"/>
          <w:sz w:val="24"/>
          <w:szCs w:val="24"/>
          <w:lang w:val="en-GB"/>
        </w:rPr>
      </w:pPr>
      <w:r w:rsidRPr="004C49AF">
        <w:rPr>
          <w:rFonts w:ascii="Times New Roman" w:hAnsi="Times New Roman"/>
          <w:sz w:val="24"/>
          <w:szCs w:val="24"/>
          <w:lang w:val="en-GB" w:eastAsia="en-GB"/>
        </w:rPr>
        <w:t xml:space="preserve">Walker, 2009. Appendix 1 Teaching the human development and capability approach: Some pedagogical implications in: S. Deneulin and L. Shahani, eds. 2010. </w:t>
      </w:r>
      <w:r w:rsidRPr="004C49AF">
        <w:rPr>
          <w:rFonts w:ascii="Times New Roman" w:hAnsi="Times New Roman"/>
          <w:i/>
          <w:sz w:val="24"/>
          <w:szCs w:val="24"/>
          <w:lang w:val="en-GB" w:eastAsia="en-GB"/>
        </w:rPr>
        <w:t xml:space="preserve">An introduction to the human development and capability approach. </w:t>
      </w:r>
      <w:r w:rsidRPr="004C49AF">
        <w:rPr>
          <w:rFonts w:ascii="Times New Roman" w:hAnsi="Times New Roman"/>
          <w:sz w:val="24"/>
          <w:szCs w:val="24"/>
          <w:lang w:val="en-GB" w:eastAsia="en-GB"/>
        </w:rPr>
        <w:t>London: Earthscan, pp. 240-243.</w:t>
      </w:r>
    </w:p>
    <w:p w:rsidR="00A76A79" w:rsidRPr="004C49AF" w:rsidRDefault="00A76A79" w:rsidP="00A76A79">
      <w:pPr>
        <w:spacing w:after="0" w:line="240" w:lineRule="auto"/>
        <w:jc w:val="both"/>
        <w:rPr>
          <w:rFonts w:ascii="Times New Roman" w:hAnsi="Times New Roman"/>
          <w:sz w:val="24"/>
          <w:szCs w:val="24"/>
          <w:lang w:val="en-GB"/>
        </w:rPr>
      </w:pPr>
    </w:p>
    <w:p w:rsidR="00A76A79" w:rsidRPr="004C49AF" w:rsidRDefault="00A76A79" w:rsidP="00A76A79">
      <w:pPr>
        <w:spacing w:after="0" w:line="240" w:lineRule="auto"/>
        <w:jc w:val="both"/>
        <w:rPr>
          <w:rFonts w:ascii="Times New Roman" w:hAnsi="Times New Roman"/>
          <w:sz w:val="24"/>
          <w:szCs w:val="24"/>
          <w:lang w:val="en-GB"/>
        </w:rPr>
      </w:pPr>
    </w:p>
    <w:p w:rsidR="00A76A79" w:rsidRPr="004C49AF" w:rsidRDefault="00A76A79" w:rsidP="00A76A79">
      <w:pPr>
        <w:pStyle w:val="Textodebloque"/>
        <w:widowControl/>
        <w:spacing w:line="480" w:lineRule="auto"/>
        <w:ind w:left="0" w:right="0"/>
        <w:jc w:val="both"/>
        <w:rPr>
          <w:rFonts w:ascii="Times New Roman" w:hAnsi="Times New Roman"/>
          <w:sz w:val="24"/>
          <w:szCs w:val="24"/>
          <w:highlight w:val="yellow"/>
        </w:rPr>
      </w:pPr>
    </w:p>
    <w:sectPr w:rsidR="00A76A79" w:rsidRPr="004C49AF" w:rsidSect="00A76A7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653" w:rsidRDefault="00A86653" w:rsidP="00A76A79">
      <w:pPr>
        <w:spacing w:after="0" w:line="240" w:lineRule="auto"/>
      </w:pPr>
      <w:r>
        <w:separator/>
      </w:r>
    </w:p>
  </w:endnote>
  <w:endnote w:type="continuationSeparator" w:id="0">
    <w:p w:rsidR="00A86653" w:rsidRDefault="00A86653" w:rsidP="00A7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653" w:rsidRDefault="00A86653" w:rsidP="00A76A79">
      <w:pPr>
        <w:spacing w:after="0" w:line="240" w:lineRule="auto"/>
      </w:pPr>
      <w:r>
        <w:separator/>
      </w:r>
    </w:p>
  </w:footnote>
  <w:footnote w:type="continuationSeparator" w:id="0">
    <w:p w:rsidR="00A86653" w:rsidRDefault="00A86653" w:rsidP="00A76A79">
      <w:pPr>
        <w:spacing w:after="0" w:line="240" w:lineRule="auto"/>
      </w:pPr>
      <w:r>
        <w:continuationSeparator/>
      </w:r>
    </w:p>
  </w:footnote>
  <w:footnote w:id="1">
    <w:p w:rsidR="00742F43" w:rsidRPr="00742F43" w:rsidRDefault="00742F43">
      <w:pPr>
        <w:pStyle w:val="Textonotapie"/>
        <w:rPr>
          <w:lang w:val="en-US"/>
        </w:rPr>
      </w:pPr>
      <w:r>
        <w:rPr>
          <w:rStyle w:val="Refdenotaalpie"/>
        </w:rPr>
        <w:footnoteRef/>
      </w:r>
      <w:r w:rsidRPr="00742F43">
        <w:rPr>
          <w:lang w:val="en-US"/>
        </w:rPr>
        <w:t xml:space="preserve"> </w:t>
      </w:r>
      <w:r>
        <w:rPr>
          <w:lang w:val="en-US"/>
        </w:rPr>
        <w:t xml:space="preserve">To deepen in a comparison of both approaches related with curriculum you can see Walker (2009). </w:t>
      </w:r>
    </w:p>
  </w:footnote>
  <w:footnote w:id="2">
    <w:p w:rsidR="00663019" w:rsidRPr="009965D1" w:rsidRDefault="00663019" w:rsidP="00D51302">
      <w:pPr>
        <w:pStyle w:val="Textonotapie"/>
        <w:jc w:val="both"/>
        <w:rPr>
          <w:rFonts w:ascii="Times New Roman" w:hAnsi="Times New Roman"/>
          <w:lang w:val="en-US"/>
        </w:rPr>
      </w:pPr>
      <w:r w:rsidRPr="009965D1">
        <w:rPr>
          <w:rStyle w:val="Refdenotaalpie"/>
          <w:rFonts w:ascii="Times New Roman" w:hAnsi="Times New Roman"/>
        </w:rPr>
        <w:footnoteRef/>
      </w:r>
      <w:r w:rsidRPr="009965D1">
        <w:rPr>
          <w:rFonts w:ascii="Times New Roman" w:hAnsi="Times New Roman"/>
          <w:lang w:val="en-US"/>
        </w:rPr>
        <w:t xml:space="preserve"> This section has been written with the evidences raised through a documentary research </w:t>
      </w:r>
      <w:r w:rsidR="00D51302" w:rsidRPr="009965D1">
        <w:rPr>
          <w:rFonts w:ascii="Times New Roman" w:hAnsi="Times New Roman"/>
          <w:lang w:val="en-US"/>
        </w:rPr>
        <w:t xml:space="preserve">conducted </w:t>
      </w:r>
      <w:r w:rsidRPr="009965D1">
        <w:rPr>
          <w:rFonts w:ascii="Times New Roman" w:hAnsi="Times New Roman"/>
          <w:lang w:val="en-US"/>
        </w:rPr>
        <w:t xml:space="preserve">from the beginning of 2010 until august 2013. We have analyzed different </w:t>
      </w:r>
      <w:r w:rsidR="00D51302" w:rsidRPr="009965D1">
        <w:rPr>
          <w:rFonts w:ascii="Times New Roman" w:hAnsi="Times New Roman"/>
          <w:lang w:val="en-US"/>
        </w:rPr>
        <w:t>sources: general newspapers, official documents of EU, OCDE and the Spanish Government, Spanish educational laws, official statements of educational trade unions, students, parents and teacher associations, universities bodies, etc. In all this process we have tried to capture all perspectives, from the ones closest to the official approaches to the critical ones.</w:t>
      </w:r>
    </w:p>
  </w:footnote>
  <w:footnote w:id="3">
    <w:p w:rsidR="00A76A79" w:rsidRPr="006679FD" w:rsidRDefault="00A76A79" w:rsidP="00A76A79">
      <w:pPr>
        <w:pStyle w:val="Textonotapie"/>
        <w:rPr>
          <w:sz w:val="18"/>
          <w:szCs w:val="18"/>
          <w:lang w:val="en-US"/>
        </w:rPr>
      </w:pPr>
      <w:r w:rsidRPr="00951073">
        <w:rPr>
          <w:rStyle w:val="Refdenotaalpie"/>
          <w:sz w:val="18"/>
          <w:szCs w:val="18"/>
        </w:rPr>
        <w:footnoteRef/>
      </w:r>
      <w:r w:rsidRPr="006679FD">
        <w:rPr>
          <w:sz w:val="18"/>
          <w:szCs w:val="18"/>
          <w:lang w:val="en-US"/>
        </w:rPr>
        <w:t xml:space="preserve"> Source INE </w:t>
      </w:r>
      <w:r>
        <w:rPr>
          <w:sz w:val="18"/>
          <w:szCs w:val="18"/>
          <w:lang w:val="en-US"/>
        </w:rPr>
        <w:t xml:space="preserve">(National Statistical Institute) quoted in </w:t>
      </w:r>
      <w:r w:rsidRPr="006679FD">
        <w:rPr>
          <w:sz w:val="18"/>
          <w:szCs w:val="18"/>
          <w:lang w:val="en-US"/>
        </w:rPr>
        <w:t>El Mundo</w:t>
      </w:r>
      <w:r>
        <w:rPr>
          <w:sz w:val="18"/>
          <w:szCs w:val="18"/>
          <w:lang w:val="en-US"/>
        </w:rPr>
        <w:t xml:space="preserve"> newspaper</w:t>
      </w:r>
      <w:r w:rsidRPr="006679FD">
        <w:rPr>
          <w:sz w:val="18"/>
          <w:szCs w:val="18"/>
          <w:lang w:val="en-US"/>
        </w:rPr>
        <w:t xml:space="preserve">: </w:t>
      </w:r>
      <w:hyperlink r:id="rId1" w:history="1">
        <w:r w:rsidRPr="006679FD">
          <w:rPr>
            <w:rStyle w:val="Hipervnculo"/>
            <w:sz w:val="18"/>
            <w:szCs w:val="18"/>
            <w:lang w:val="en-US"/>
          </w:rPr>
          <w:t>http://www.elmundo.es/elmundo/2012/graficos/mar/s5/presupuestos.html</w:t>
        </w:r>
      </w:hyperlink>
    </w:p>
    <w:p w:rsidR="00A76A79" w:rsidRPr="006679FD" w:rsidRDefault="00A76A79" w:rsidP="00A76A79">
      <w:pPr>
        <w:pStyle w:val="Textonotapie"/>
        <w:rPr>
          <w:sz w:val="18"/>
          <w:szCs w:val="18"/>
          <w:lang w:val="en-US"/>
        </w:rPr>
      </w:pPr>
      <w:r w:rsidRPr="006679FD">
        <w:rPr>
          <w:sz w:val="18"/>
          <w:szCs w:val="18"/>
          <w:lang w:val="en-US"/>
        </w:rPr>
        <w:t xml:space="preserve"> </w:t>
      </w:r>
    </w:p>
  </w:footnote>
  <w:footnote w:id="4">
    <w:p w:rsidR="00A76A79" w:rsidRPr="00EE5431" w:rsidRDefault="00A76A79" w:rsidP="00A76A79">
      <w:pPr>
        <w:pStyle w:val="Textonotapie"/>
        <w:rPr>
          <w:sz w:val="18"/>
          <w:szCs w:val="18"/>
          <w:lang w:val="en-US"/>
        </w:rPr>
      </w:pPr>
      <w:r w:rsidRPr="00804791">
        <w:rPr>
          <w:rStyle w:val="Refdenotaalpie"/>
          <w:sz w:val="18"/>
          <w:szCs w:val="18"/>
        </w:rPr>
        <w:footnoteRef/>
      </w:r>
      <w:r w:rsidRPr="00EE5431">
        <w:rPr>
          <w:sz w:val="18"/>
          <w:szCs w:val="18"/>
          <w:lang w:val="en-US"/>
        </w:rPr>
        <w:t xml:space="preserve"> </w:t>
      </w:r>
      <w:hyperlink r:id="rId2" w:anchor="GastoPublico" w:history="1">
        <w:r w:rsidRPr="00EE5431">
          <w:rPr>
            <w:rStyle w:val="Hipervnculo"/>
            <w:sz w:val="18"/>
            <w:szCs w:val="18"/>
            <w:lang w:val="en-US"/>
          </w:rPr>
          <w:t>http://www.lamoncloa.gob.es/ConsejodeMinistros/Referencias/_2012/refc20120420.htm#GastoPublico</w:t>
        </w:r>
      </w:hyperlink>
      <w:r w:rsidRPr="00EE5431">
        <w:rPr>
          <w:sz w:val="18"/>
          <w:szCs w:val="18"/>
          <w:lang w:val="en-US"/>
        </w:rPr>
        <w:t xml:space="preserve"> and </w:t>
      </w:r>
      <w:r w:rsidRPr="00EE5431">
        <w:rPr>
          <w:rFonts w:ascii="Times New Roman" w:hAnsi="Times New Roman"/>
          <w:color w:val="333333"/>
          <w:sz w:val="18"/>
          <w:szCs w:val="18"/>
          <w:lang w:val="en-US"/>
        </w:rPr>
        <w:t xml:space="preserve">Boletín Oficial del Estado,96, 21th April 2012, pp. 30977-30984 </w:t>
      </w:r>
      <w:r w:rsidRPr="00EE5431">
        <w:rPr>
          <w:sz w:val="18"/>
          <w:szCs w:val="18"/>
          <w:lang w:val="en-US"/>
        </w:rPr>
        <w:t>http://www.boe.es/boe/dias/2012/04/21/pdfs/BOE-A-2012-5337.pdf.</w:t>
      </w:r>
    </w:p>
    <w:p w:rsidR="00A76A79" w:rsidRPr="00EE5431" w:rsidRDefault="00A76A79" w:rsidP="00A76A79">
      <w:pPr>
        <w:pStyle w:val="Textonotapie"/>
        <w:rPr>
          <w:sz w:val="18"/>
          <w:szCs w:val="18"/>
          <w:lang w:val="en-US"/>
        </w:rPr>
      </w:pPr>
    </w:p>
  </w:footnote>
  <w:footnote w:id="5">
    <w:p w:rsidR="00A76A79" w:rsidRPr="00EE5431" w:rsidRDefault="00A76A79" w:rsidP="00A76A79">
      <w:pPr>
        <w:pStyle w:val="Textonotapie"/>
        <w:rPr>
          <w:lang w:val="en-US"/>
        </w:rPr>
      </w:pPr>
      <w:r>
        <w:rPr>
          <w:rStyle w:val="Refdenotaalpie"/>
        </w:rPr>
        <w:footnoteRef/>
      </w:r>
      <w:r w:rsidRPr="00EE5431">
        <w:rPr>
          <w:lang w:val="en-US"/>
        </w:rPr>
        <w:t xml:space="preserve"> </w:t>
      </w:r>
      <w:hyperlink r:id="rId3" w:history="1">
        <w:r w:rsidRPr="00EE5431">
          <w:rPr>
            <w:rStyle w:val="Hipervnculo"/>
            <w:lang w:val="en-US"/>
          </w:rPr>
          <w:t>http://www.ine.es/daco/daco42/daco421/ipc0012.pdf</w:t>
        </w:r>
      </w:hyperlink>
    </w:p>
    <w:p w:rsidR="00A76A79" w:rsidRPr="00EE5431" w:rsidRDefault="00A76A79" w:rsidP="00A76A79">
      <w:pPr>
        <w:pStyle w:val="Textonotapie"/>
        <w:rPr>
          <w:lang w:val="en-US"/>
        </w:rPr>
      </w:pPr>
    </w:p>
  </w:footnote>
  <w:footnote w:id="6">
    <w:p w:rsidR="00A76A79" w:rsidRPr="00EE5431" w:rsidRDefault="00A76A79" w:rsidP="00A76A79">
      <w:pPr>
        <w:pStyle w:val="Textonotapie"/>
        <w:rPr>
          <w:lang w:val="en-US"/>
        </w:rPr>
      </w:pPr>
      <w:r>
        <w:rPr>
          <w:rStyle w:val="Refdenotaalpie"/>
        </w:rPr>
        <w:footnoteRef/>
      </w:r>
      <w:r w:rsidRPr="00EE5431">
        <w:rPr>
          <w:lang w:val="en-US"/>
        </w:rPr>
        <w:t xml:space="preserve"> </w:t>
      </w:r>
      <w:hyperlink r:id="rId4" w:history="1">
        <w:r w:rsidRPr="00EE5431">
          <w:rPr>
            <w:rStyle w:val="Hipervnculo"/>
            <w:lang w:val="en-US"/>
          </w:rPr>
          <w:t>http://www.20minutos.es/noticia/1539986/0/universidad/subida-tasas/congelacion/</w:t>
        </w:r>
      </w:hyperlink>
    </w:p>
    <w:p w:rsidR="00A76A79" w:rsidRPr="00EE5431" w:rsidRDefault="00A76A79" w:rsidP="00A76A79">
      <w:pPr>
        <w:pStyle w:val="Textonotapie"/>
        <w:rPr>
          <w:lang w:val="en-US"/>
        </w:rPr>
      </w:pPr>
    </w:p>
  </w:footnote>
  <w:footnote w:id="7">
    <w:p w:rsidR="00A76A79" w:rsidRPr="00AB17F7" w:rsidRDefault="00A76A79" w:rsidP="00A76A79">
      <w:pPr>
        <w:pStyle w:val="Textonotapie"/>
        <w:rPr>
          <w:rFonts w:ascii="Times New Roman" w:hAnsi="Times New Roman"/>
          <w:sz w:val="18"/>
          <w:szCs w:val="18"/>
          <w:lang w:val="en-US"/>
        </w:rPr>
      </w:pPr>
      <w:r w:rsidRPr="00C56BE7">
        <w:rPr>
          <w:rStyle w:val="Refdenotaalpie"/>
          <w:rFonts w:ascii="Times New Roman" w:hAnsi="Times New Roman"/>
          <w:sz w:val="18"/>
          <w:szCs w:val="18"/>
        </w:rPr>
        <w:footnoteRef/>
      </w:r>
      <w:r w:rsidRPr="00AB17F7">
        <w:rPr>
          <w:rFonts w:ascii="Times New Roman" w:hAnsi="Times New Roman"/>
          <w:sz w:val="18"/>
          <w:szCs w:val="18"/>
          <w:lang w:val="en-US"/>
        </w:rPr>
        <w:t xml:space="preserve">  </w:t>
      </w:r>
      <w:hyperlink r:id="rId5" w:history="1">
        <w:r w:rsidRPr="00AB17F7">
          <w:rPr>
            <w:rStyle w:val="Hipervnculo"/>
            <w:rFonts w:ascii="Times New Roman" w:hAnsi="Times New Roman"/>
            <w:sz w:val="18"/>
            <w:szCs w:val="18"/>
            <w:lang w:val="en-US"/>
          </w:rPr>
          <w:t>http://www.elmundo.es/elmundo/2012/09/29/espana/1348917473.html#comentarios</w:t>
        </w:r>
      </w:hyperlink>
    </w:p>
    <w:p w:rsidR="00A76A79" w:rsidRPr="00AB17F7" w:rsidRDefault="00A76A79" w:rsidP="00A76A79">
      <w:pPr>
        <w:pStyle w:val="Textonotapie"/>
        <w:rPr>
          <w:rFonts w:ascii="Times New Roman" w:hAnsi="Times New Roman"/>
          <w:sz w:val="18"/>
          <w:szCs w:val="18"/>
          <w:lang w:val="en-US"/>
        </w:rPr>
      </w:pPr>
    </w:p>
  </w:footnote>
  <w:footnote w:id="8">
    <w:p w:rsidR="00A76A79" w:rsidRPr="00AB17F7" w:rsidRDefault="00A76A79" w:rsidP="00A76A79">
      <w:pPr>
        <w:pStyle w:val="Textonotapie"/>
        <w:rPr>
          <w:lang w:val="en-US"/>
        </w:rPr>
      </w:pPr>
      <w:r>
        <w:rPr>
          <w:rStyle w:val="Refdenotaalpie"/>
        </w:rPr>
        <w:footnoteRef/>
      </w:r>
      <w:r w:rsidRPr="00AB17F7">
        <w:rPr>
          <w:lang w:val="en-US"/>
        </w:rPr>
        <w:t xml:space="preserve"> http://www.csi-f.es/es/content/ceuta-%E2%96%BA-csi-f-exige-que-el-sistema-de-becas-sirva-para-posibilitar-el-acceso-los-estudios-to</w:t>
      </w:r>
    </w:p>
  </w:footnote>
  <w:footnote w:id="9">
    <w:p w:rsidR="00A76A79" w:rsidRPr="00AB17F7" w:rsidRDefault="00A76A79" w:rsidP="00A76A79">
      <w:pPr>
        <w:pStyle w:val="Textonotapie"/>
        <w:rPr>
          <w:lang w:val="en-US"/>
        </w:rPr>
      </w:pPr>
      <w:r>
        <w:rPr>
          <w:rStyle w:val="Refdenotaalpie"/>
        </w:rPr>
        <w:footnoteRef/>
      </w:r>
      <w:r w:rsidRPr="00AB17F7">
        <w:rPr>
          <w:lang w:val="en-US"/>
        </w:rPr>
        <w:t xml:space="preserve">  </w:t>
      </w:r>
      <w:hyperlink r:id="rId6" w:history="1">
        <w:r w:rsidRPr="00AB17F7">
          <w:rPr>
            <w:rStyle w:val="Hipervnculo"/>
            <w:lang w:val="en-US"/>
          </w:rPr>
          <w:t>http://www.dudasbecasmec.com/2013/07/el-presupuesto-destinado-becas-en.html</w:t>
        </w:r>
      </w:hyperlink>
    </w:p>
    <w:p w:rsidR="00A76A79" w:rsidRPr="00AB17F7" w:rsidRDefault="00A76A79" w:rsidP="00A76A79">
      <w:pPr>
        <w:pStyle w:val="Textonotapie"/>
        <w:rPr>
          <w:lang w:val="en-US"/>
        </w:rPr>
      </w:pPr>
    </w:p>
  </w:footnote>
  <w:footnote w:id="10">
    <w:p w:rsidR="00A76A79" w:rsidRPr="00AB17F7" w:rsidRDefault="00A76A79" w:rsidP="00A76A79">
      <w:pPr>
        <w:pStyle w:val="Textonotapie"/>
        <w:rPr>
          <w:lang w:val="en-US"/>
        </w:rPr>
      </w:pPr>
      <w:r w:rsidRPr="00C56BE7">
        <w:rPr>
          <w:rStyle w:val="Refdenotaalpie"/>
          <w:rFonts w:ascii="Times New Roman" w:hAnsi="Times New Roman"/>
          <w:sz w:val="18"/>
          <w:szCs w:val="18"/>
        </w:rPr>
        <w:footnoteRef/>
      </w:r>
      <w:r w:rsidRPr="00AB17F7">
        <w:rPr>
          <w:rFonts w:ascii="Times New Roman" w:hAnsi="Times New Roman"/>
          <w:sz w:val="18"/>
          <w:szCs w:val="18"/>
          <w:lang w:val="en-US"/>
        </w:rPr>
        <w:t xml:space="preserve"> http://sociedad.elpais.com/sociedad/2012/09/14/actualidad/1347651082_329134.html</w:t>
      </w:r>
    </w:p>
  </w:footnote>
  <w:footnote w:id="11">
    <w:p w:rsidR="00A76A79" w:rsidRPr="00AB17F7" w:rsidRDefault="00A76A79" w:rsidP="00A76A79">
      <w:pPr>
        <w:pStyle w:val="Textonotapie"/>
        <w:rPr>
          <w:lang w:val="en-US"/>
        </w:rPr>
      </w:pPr>
      <w:r>
        <w:rPr>
          <w:rStyle w:val="Refdenotaalpie"/>
        </w:rPr>
        <w:footnoteRef/>
      </w:r>
      <w:r w:rsidRPr="00AB17F7">
        <w:rPr>
          <w:lang w:val="en-US"/>
        </w:rPr>
        <w:t xml:space="preserve"> </w:t>
      </w:r>
      <w:hyperlink r:id="rId7" w:history="1">
        <w:r w:rsidRPr="00AB17F7">
          <w:rPr>
            <w:rStyle w:val="Hipervnculo"/>
            <w:lang w:val="en-US"/>
          </w:rPr>
          <w:t>http://www.crue.org/doc_portada/Junio_2013/2013.06.27_Comunicado_RD_Becas.pdf</w:t>
        </w:r>
      </w:hyperlink>
    </w:p>
    <w:p w:rsidR="00A76A79" w:rsidRPr="00AB17F7" w:rsidRDefault="00A76A79" w:rsidP="00A76A79">
      <w:pPr>
        <w:pStyle w:val="Textonotapie"/>
        <w:rPr>
          <w:lang w:val="en-US"/>
        </w:rPr>
      </w:pPr>
    </w:p>
  </w:footnote>
  <w:footnote w:id="12">
    <w:p w:rsidR="00A76A79" w:rsidRPr="00AB17F7" w:rsidRDefault="00A76A79" w:rsidP="00A76A79">
      <w:pPr>
        <w:pStyle w:val="Textonotapie"/>
        <w:rPr>
          <w:rFonts w:ascii="Times New Roman" w:hAnsi="Times New Roman"/>
          <w:sz w:val="18"/>
          <w:szCs w:val="18"/>
          <w:lang w:val="en-US"/>
        </w:rPr>
      </w:pPr>
      <w:r w:rsidRPr="00C56BE7">
        <w:rPr>
          <w:rStyle w:val="Refdenotaalpie"/>
          <w:rFonts w:ascii="Times New Roman" w:hAnsi="Times New Roman"/>
          <w:sz w:val="18"/>
          <w:szCs w:val="18"/>
        </w:rPr>
        <w:footnoteRef/>
      </w:r>
      <w:r w:rsidRPr="00AB17F7">
        <w:rPr>
          <w:rFonts w:ascii="Times New Roman" w:hAnsi="Times New Roman"/>
          <w:sz w:val="18"/>
          <w:szCs w:val="18"/>
          <w:lang w:val="en-US"/>
        </w:rPr>
        <w:t xml:space="preserve"> http://www.abc.es/videos-sociedad/20130515/profesor-ciencias-politicas-destaca-2383151960001.html</w:t>
      </w:r>
    </w:p>
  </w:footnote>
  <w:footnote w:id="13">
    <w:p w:rsidR="00A76A79" w:rsidRPr="00AB17F7" w:rsidRDefault="00A76A79" w:rsidP="00A76A79">
      <w:pPr>
        <w:pStyle w:val="Textonotapie"/>
        <w:rPr>
          <w:lang w:val="en-US"/>
        </w:rPr>
      </w:pPr>
      <w:r>
        <w:rPr>
          <w:rStyle w:val="Refdenotaalpie"/>
        </w:rPr>
        <w:footnoteRef/>
      </w:r>
      <w:r w:rsidRPr="00AB17F7">
        <w:rPr>
          <w:lang w:val="en-US"/>
        </w:rPr>
        <w:t xml:space="preserve"> Green is the color of the t-shirts of this social movement </w:t>
      </w:r>
    </w:p>
  </w:footnote>
  <w:footnote w:id="14">
    <w:p w:rsidR="00A76A79" w:rsidRPr="00F033B9" w:rsidRDefault="00A76A79" w:rsidP="00A76A79">
      <w:pPr>
        <w:pStyle w:val="Default"/>
        <w:rPr>
          <w:rFonts w:ascii="Times New Roman" w:hAnsi="Times New Roman" w:cs="Times New Roman"/>
          <w:sz w:val="18"/>
          <w:szCs w:val="18"/>
        </w:rPr>
      </w:pPr>
      <w:r w:rsidRPr="00F033B9">
        <w:rPr>
          <w:rStyle w:val="Refdenotaalpie"/>
          <w:rFonts w:ascii="Times New Roman" w:hAnsi="Times New Roman" w:cs="Times New Roman"/>
          <w:sz w:val="18"/>
          <w:szCs w:val="18"/>
        </w:rPr>
        <w:footnoteRef/>
      </w:r>
      <w:r w:rsidRPr="00F033B9">
        <w:rPr>
          <w:rFonts w:ascii="Times New Roman" w:hAnsi="Times New Roman" w:cs="Times New Roman"/>
          <w:sz w:val="18"/>
          <w:szCs w:val="18"/>
        </w:rPr>
        <w:t xml:space="preserve"> </w:t>
      </w:r>
      <w:r w:rsidRPr="00F033B9">
        <w:rPr>
          <w:rFonts w:ascii="Times New Roman" w:hAnsi="Times New Roman" w:cs="Times New Roman"/>
          <w:sz w:val="18"/>
          <w:szCs w:val="18"/>
          <w:lang w:eastAsia="es-ES"/>
        </w:rPr>
        <w:t xml:space="preserve"> </w:t>
      </w:r>
      <w:r w:rsidRPr="00F033B9">
        <w:rPr>
          <w:rFonts w:ascii="Times New Roman" w:hAnsi="Times New Roman" w:cs="Times New Roman"/>
          <w:i/>
          <w:iCs/>
          <w:sz w:val="18"/>
          <w:szCs w:val="18"/>
          <w:lang w:eastAsia="es-ES"/>
        </w:rPr>
        <w:t xml:space="preserve">Real Decreto-ley 8/2010, de 20 de mayo, por el que se adoptan medidas extraordinarias para la reducción del déficit público. </w:t>
      </w:r>
      <w:hyperlink r:id="rId8" w:history="1">
        <w:r w:rsidRPr="00F033B9">
          <w:rPr>
            <w:rStyle w:val="Hipervnculo"/>
            <w:rFonts w:ascii="Times New Roman" w:hAnsi="Times New Roman" w:cs="Times New Roman"/>
            <w:sz w:val="18"/>
            <w:szCs w:val="18"/>
          </w:rPr>
          <w:t>http://www.boe.es/boe/dias/2010/05/24/pdfs/BOE-A-2010-8228.pdf</w:t>
        </w:r>
      </w:hyperlink>
    </w:p>
    <w:p w:rsidR="00A76A79" w:rsidRPr="00F033B9" w:rsidRDefault="00A76A79" w:rsidP="00A76A79">
      <w:pPr>
        <w:pStyle w:val="Default"/>
        <w:rPr>
          <w:rFonts w:ascii="Times New Roman" w:hAnsi="Times New Roman" w:cs="Times New Roman"/>
          <w:sz w:val="18"/>
          <w:szCs w:val="18"/>
        </w:rPr>
      </w:pPr>
    </w:p>
  </w:footnote>
  <w:footnote w:id="15">
    <w:p w:rsidR="00A76A79" w:rsidRPr="002E7409" w:rsidRDefault="00A76A79" w:rsidP="00A76A79">
      <w:pPr>
        <w:pStyle w:val="Textonotapie"/>
        <w:rPr>
          <w:rFonts w:ascii="Times New Roman" w:hAnsi="Times New Roman"/>
          <w:sz w:val="18"/>
          <w:szCs w:val="18"/>
        </w:rPr>
      </w:pPr>
      <w:r w:rsidRPr="002E7409">
        <w:rPr>
          <w:rStyle w:val="Refdenotaalpie"/>
          <w:rFonts w:ascii="Times New Roman" w:hAnsi="Times New Roman"/>
          <w:sz w:val="18"/>
          <w:szCs w:val="18"/>
        </w:rPr>
        <w:footnoteRef/>
      </w:r>
      <w:r w:rsidRPr="002E7409">
        <w:rPr>
          <w:rFonts w:ascii="Times New Roman" w:hAnsi="Times New Roman"/>
          <w:sz w:val="18"/>
          <w:szCs w:val="18"/>
        </w:rPr>
        <w:t xml:space="preserve"> </w:t>
      </w:r>
      <w:hyperlink r:id="rId9" w:history="1">
        <w:r w:rsidRPr="002E7409">
          <w:rPr>
            <w:rStyle w:val="Hipervnculo"/>
            <w:rFonts w:ascii="Times New Roman" w:hAnsi="Times New Roman"/>
            <w:sz w:val="18"/>
            <w:szCs w:val="18"/>
          </w:rPr>
          <w:t>http://www.boe.es/boe/dias/2006/05/04/pdfs/A17158-17207.pdf</w:t>
        </w:r>
      </w:hyperlink>
    </w:p>
    <w:p w:rsidR="00A76A79" w:rsidRPr="002E7409" w:rsidRDefault="00A76A79" w:rsidP="00A76A79">
      <w:pPr>
        <w:pStyle w:val="Textonotapie"/>
        <w:rPr>
          <w:rFonts w:ascii="Times New Roman" w:hAnsi="Times New Roman"/>
          <w:sz w:val="18"/>
          <w:szCs w:val="18"/>
        </w:rPr>
      </w:pPr>
    </w:p>
  </w:footnote>
  <w:footnote w:id="16">
    <w:p w:rsidR="00A76A79" w:rsidRDefault="00A76A79" w:rsidP="00A76A79">
      <w:pPr>
        <w:pStyle w:val="Textonotapie"/>
      </w:pPr>
      <w:r>
        <w:rPr>
          <w:rStyle w:val="Refdenotaalpie"/>
        </w:rPr>
        <w:footnoteRef/>
      </w:r>
      <w:r>
        <w:t xml:space="preserve"> </w:t>
      </w:r>
      <w:hyperlink r:id="rId10" w:history="1">
        <w:r w:rsidRPr="00954E0A">
          <w:rPr>
            <w:rStyle w:val="Hipervnculo"/>
          </w:rPr>
          <w:t>http://soypublica.wordpress.com/2012/10/08/lo-que-esconde-la-lomce-analisis-del-anteproyecto-de-ley-de-educacion/</w:t>
        </w:r>
      </w:hyperlink>
    </w:p>
    <w:p w:rsidR="00A76A79" w:rsidRDefault="00A76A79" w:rsidP="00A76A79">
      <w:pPr>
        <w:pStyle w:val="Textonotapie"/>
      </w:pPr>
    </w:p>
  </w:footnote>
  <w:footnote w:id="17">
    <w:p w:rsidR="00A76A79" w:rsidRDefault="00A76A79" w:rsidP="00A76A79">
      <w:pPr>
        <w:pStyle w:val="Textonotapie"/>
      </w:pPr>
      <w:r>
        <w:rPr>
          <w:rStyle w:val="Refdenotaalpie"/>
        </w:rPr>
        <w:footnoteRef/>
      </w:r>
      <w:r>
        <w:t xml:space="preserve"> </w:t>
      </w:r>
      <w:r w:rsidRPr="007F0144">
        <w:t>https://www.yoestudieenlapublica.org/stopvers.php</w:t>
      </w:r>
    </w:p>
  </w:footnote>
  <w:footnote w:id="18">
    <w:p w:rsidR="00A76A79" w:rsidRPr="00C93A9D" w:rsidRDefault="00A76A79" w:rsidP="00A76A79">
      <w:pPr>
        <w:spacing w:after="0" w:line="240" w:lineRule="auto"/>
        <w:rPr>
          <w:rFonts w:ascii="Times New Roman" w:eastAsia="Times New Roman" w:hAnsi="Times New Roman"/>
          <w:sz w:val="24"/>
          <w:szCs w:val="24"/>
          <w:lang w:eastAsia="es-ES"/>
        </w:rPr>
      </w:pPr>
      <w:r w:rsidRPr="002E7409">
        <w:rPr>
          <w:rStyle w:val="Refdenotaalpie"/>
          <w:rFonts w:ascii="Times New Roman" w:hAnsi="Times New Roman"/>
          <w:sz w:val="18"/>
          <w:szCs w:val="18"/>
        </w:rPr>
        <w:footnoteRef/>
      </w:r>
      <w:r w:rsidRPr="00D02B61">
        <w:rPr>
          <w:rFonts w:ascii="Times New Roman" w:hAnsi="Times New Roman"/>
          <w:sz w:val="18"/>
          <w:szCs w:val="18"/>
        </w:rPr>
        <w:t xml:space="preserve"> European Commission, 2012: </w:t>
      </w:r>
      <w:r w:rsidRPr="00C93A9D">
        <w:rPr>
          <w:rFonts w:ascii="Times New Roman" w:hAnsi="Times New Roman"/>
          <w:sz w:val="18"/>
          <w:szCs w:val="18"/>
        </w:rPr>
        <w:t>Rethinking Education: Investing in skills for better socio-economic outcomes</w:t>
      </w:r>
      <w:r w:rsidRPr="00C93A9D">
        <w:rPr>
          <w:rFonts w:ascii="Times New Roman" w:eastAsia="Times New Roman" w:hAnsi="Times New Roman"/>
          <w:sz w:val="24"/>
          <w:szCs w:val="24"/>
          <w:lang w:eastAsia="es-ES"/>
        </w:rPr>
        <w:t xml:space="preserve"> </w:t>
      </w:r>
    </w:p>
    <w:p w:rsidR="00A76A79" w:rsidRPr="00D02B61" w:rsidRDefault="00A76A79" w:rsidP="00A76A79">
      <w:pPr>
        <w:autoSpaceDE w:val="0"/>
        <w:autoSpaceDN w:val="0"/>
        <w:adjustRightInd w:val="0"/>
        <w:spacing w:after="0" w:line="240" w:lineRule="auto"/>
        <w:rPr>
          <w:rFonts w:ascii="Times New Roman" w:hAnsi="Times New Roman"/>
          <w:sz w:val="18"/>
          <w:szCs w:val="18"/>
        </w:rPr>
      </w:pPr>
      <w:r w:rsidRPr="00D02B61">
        <w:rPr>
          <w:rFonts w:ascii="Times New Roman" w:hAnsi="Times New Roman"/>
          <w:bCs/>
          <w:i/>
          <w:sz w:val="18"/>
          <w:szCs w:val="18"/>
        </w:rPr>
        <w:t xml:space="preserve"> </w:t>
      </w:r>
      <w:r w:rsidRPr="00D02B61">
        <w:rPr>
          <w:rFonts w:ascii="Times New Roman" w:hAnsi="Times New Roman"/>
          <w:sz w:val="18"/>
          <w:szCs w:val="18"/>
        </w:rPr>
        <w:t xml:space="preserve"> COM (2012), 669, in http://www.cedefop.europa.eu/EN/Files/com669_en.pdf</w:t>
      </w:r>
    </w:p>
    <w:p w:rsidR="00A76A79" w:rsidRPr="00D02B61" w:rsidRDefault="00A76A79" w:rsidP="00A76A79">
      <w:pPr>
        <w:autoSpaceDE w:val="0"/>
        <w:autoSpaceDN w:val="0"/>
        <w:adjustRightInd w:val="0"/>
        <w:spacing w:after="0" w:line="240" w:lineRule="auto"/>
        <w:rPr>
          <w:rFonts w:ascii="Times New Roman" w:hAnsi="Times New Roman"/>
          <w:i/>
          <w:sz w:val="18"/>
          <w:szCs w:val="18"/>
        </w:rPr>
      </w:pPr>
    </w:p>
  </w:footnote>
  <w:footnote w:id="19">
    <w:p w:rsidR="00A76A79" w:rsidRPr="00D02B61" w:rsidRDefault="00A76A79" w:rsidP="00A76A79">
      <w:pPr>
        <w:pStyle w:val="Textonotapie"/>
        <w:rPr>
          <w:rFonts w:ascii="Times New Roman" w:hAnsi="Times New Roman"/>
          <w:sz w:val="18"/>
          <w:szCs w:val="18"/>
          <w:lang w:val="en-US"/>
        </w:rPr>
      </w:pPr>
      <w:r w:rsidRPr="007E5576">
        <w:rPr>
          <w:rFonts w:ascii="Times New Roman" w:hAnsi="Times New Roman"/>
          <w:sz w:val="18"/>
          <w:szCs w:val="18"/>
          <w:vertAlign w:val="superscript"/>
        </w:rPr>
        <w:footnoteRef/>
      </w:r>
      <w:r w:rsidRPr="00D02B61">
        <w:rPr>
          <w:rFonts w:ascii="Times New Roman" w:hAnsi="Times New Roman"/>
          <w:sz w:val="18"/>
          <w:szCs w:val="18"/>
          <w:lang w:val="en-US"/>
        </w:rPr>
        <w:t xml:space="preserve"> </w:t>
      </w:r>
      <w:r>
        <w:rPr>
          <w:rFonts w:ascii="Times New Roman" w:hAnsi="Times New Roman"/>
          <w:sz w:val="18"/>
          <w:szCs w:val="18"/>
          <w:lang w:val="en-US"/>
        </w:rPr>
        <w:t xml:space="preserve">Supreme Court, </w:t>
      </w:r>
      <w:r w:rsidRPr="00D02B61">
        <w:rPr>
          <w:rFonts w:ascii="Times New Roman" w:hAnsi="Times New Roman"/>
          <w:sz w:val="18"/>
          <w:szCs w:val="18"/>
          <w:lang w:val="en-US"/>
        </w:rPr>
        <w:t>Sentence 12th November 2012</w:t>
      </w:r>
      <w:r>
        <w:rPr>
          <w:rFonts w:ascii="Times New Roman" w:hAnsi="Times New Roman"/>
          <w:sz w:val="18"/>
          <w:szCs w:val="18"/>
          <w:lang w:val="en-US"/>
        </w:rPr>
        <w:t>.</w:t>
      </w:r>
    </w:p>
  </w:footnote>
  <w:footnote w:id="20">
    <w:p w:rsidR="00A76A79" w:rsidRDefault="00A76A79" w:rsidP="00A76A79">
      <w:pPr>
        <w:pStyle w:val="Textonotapie"/>
      </w:pPr>
      <w:r w:rsidRPr="000C0689">
        <w:rPr>
          <w:rStyle w:val="Refdenotaalpie"/>
          <w:rFonts w:ascii="Times New Roman" w:hAnsi="Times New Roman"/>
          <w:sz w:val="18"/>
          <w:szCs w:val="18"/>
        </w:rPr>
        <w:footnoteRef/>
      </w:r>
      <w:r w:rsidRPr="000C0689">
        <w:rPr>
          <w:rFonts w:ascii="Times New Roman" w:hAnsi="Times New Roman"/>
          <w:sz w:val="18"/>
          <w:szCs w:val="18"/>
        </w:rPr>
        <w:t xml:space="preserve"> Unión Europea, 2002. Recomendación del Comité de Ministros a los Estados miembros sobre la Educación para la Ciudadanía Democrática. Recogido en A. Bolívar, 2008, </w:t>
      </w:r>
      <w:r w:rsidRPr="000C0689">
        <w:rPr>
          <w:rFonts w:ascii="Times New Roman" w:hAnsi="Times New Roman"/>
          <w:i/>
          <w:sz w:val="18"/>
          <w:szCs w:val="18"/>
        </w:rPr>
        <w:t>Ciudadanía y competencias básicas</w:t>
      </w:r>
      <w:r w:rsidRPr="000C0689">
        <w:rPr>
          <w:rFonts w:ascii="Times New Roman" w:hAnsi="Times New Roman"/>
          <w:sz w:val="18"/>
          <w:szCs w:val="18"/>
        </w:rPr>
        <w:t>. Sevilla: Fundación ECOEM, pp. 265-274.</w:t>
      </w:r>
    </w:p>
  </w:footnote>
  <w:footnote w:id="21">
    <w:p w:rsidR="00A76A79" w:rsidRPr="00D02B61" w:rsidRDefault="00A76A79" w:rsidP="00A76A79">
      <w:pPr>
        <w:pStyle w:val="Default"/>
        <w:rPr>
          <w:rFonts w:ascii="Times New Roman" w:hAnsi="Times New Roman" w:cs="Times New Roman"/>
          <w:sz w:val="18"/>
          <w:szCs w:val="18"/>
          <w:lang w:val="en-US"/>
        </w:rPr>
      </w:pPr>
      <w:r w:rsidRPr="002E7409">
        <w:rPr>
          <w:rStyle w:val="Refdenotaalpie"/>
          <w:rFonts w:ascii="Times New Roman" w:hAnsi="Times New Roman" w:cs="Times New Roman"/>
          <w:sz w:val="18"/>
          <w:szCs w:val="18"/>
        </w:rPr>
        <w:footnoteRef/>
      </w:r>
      <w:r w:rsidRPr="00D02B61">
        <w:rPr>
          <w:rFonts w:ascii="Times New Roman" w:hAnsi="Times New Roman" w:cs="Times New Roman"/>
          <w:sz w:val="18"/>
          <w:szCs w:val="18"/>
          <w:lang w:val="en-US"/>
        </w:rPr>
        <w:t xml:space="preserve"> </w:t>
      </w:r>
      <w:r w:rsidRPr="00D02B61">
        <w:rPr>
          <w:rFonts w:ascii="Times New Roman" w:hAnsi="Times New Roman" w:cs="Times New Roman"/>
          <w:color w:val="auto"/>
          <w:sz w:val="18"/>
          <w:szCs w:val="18"/>
          <w:lang w:val="en-US" w:eastAsia="es-ES"/>
        </w:rPr>
        <w:t xml:space="preserve"> </w:t>
      </w:r>
      <w:r w:rsidRPr="00D02B61">
        <w:rPr>
          <w:rFonts w:ascii="Times New Roman" w:hAnsi="Times New Roman" w:cs="Times New Roman"/>
          <w:color w:val="auto"/>
          <w:sz w:val="18"/>
          <w:szCs w:val="18"/>
          <w:lang w:val="en-US"/>
        </w:rPr>
        <w:t>Recommendation of the Committee of Ministers to member states on the Council of Europe Charter on Education for Democratic Citizenship CM/Rec(2010)7 https://wcd.coe.int/ViewDoc.jsp?id=1621697</w:t>
      </w:r>
    </w:p>
  </w:footnote>
  <w:footnote w:id="22">
    <w:p w:rsidR="00A76A79" w:rsidRDefault="00A76A79" w:rsidP="00A76A79">
      <w:pPr>
        <w:pStyle w:val="Textonotapie"/>
        <w:rPr>
          <w:rFonts w:ascii="Times New Roman" w:hAnsi="Times New Roman"/>
          <w:sz w:val="18"/>
          <w:szCs w:val="18"/>
        </w:rPr>
      </w:pPr>
      <w:r w:rsidRPr="0002451F">
        <w:rPr>
          <w:rStyle w:val="Refdenotaalpie"/>
          <w:rFonts w:ascii="Times New Roman" w:hAnsi="Times New Roman"/>
          <w:sz w:val="18"/>
          <w:szCs w:val="18"/>
        </w:rPr>
        <w:footnoteRef/>
      </w:r>
      <w:r w:rsidRPr="0002451F">
        <w:rPr>
          <w:rFonts w:ascii="Times New Roman" w:hAnsi="Times New Roman"/>
          <w:sz w:val="18"/>
          <w:szCs w:val="18"/>
        </w:rPr>
        <w:t xml:space="preserve"> </w:t>
      </w:r>
      <w:r>
        <w:rPr>
          <w:rFonts w:ascii="Times New Roman" w:hAnsi="Times New Roman"/>
          <w:sz w:val="18"/>
          <w:szCs w:val="18"/>
        </w:rPr>
        <w:t>State Council (</w:t>
      </w:r>
      <w:r w:rsidRPr="0002451F">
        <w:rPr>
          <w:rFonts w:ascii="Times New Roman" w:hAnsi="Times New Roman"/>
          <w:sz w:val="18"/>
          <w:szCs w:val="18"/>
        </w:rPr>
        <w:t>Consejo de Estado</w:t>
      </w:r>
      <w:r>
        <w:rPr>
          <w:rFonts w:ascii="Times New Roman" w:hAnsi="Times New Roman"/>
          <w:sz w:val="18"/>
          <w:szCs w:val="18"/>
        </w:rPr>
        <w:t>)</w:t>
      </w:r>
      <w:r w:rsidRPr="0002451F">
        <w:rPr>
          <w:rFonts w:ascii="Times New Roman" w:hAnsi="Times New Roman"/>
          <w:sz w:val="18"/>
          <w:szCs w:val="18"/>
        </w:rPr>
        <w:t>, 2013. Dictamen 172/2013</w:t>
      </w:r>
      <w:r w:rsidRPr="00085D7E">
        <w:rPr>
          <w:rFonts w:ascii="Times New Roman" w:hAnsi="Times New Roman"/>
          <w:sz w:val="18"/>
          <w:szCs w:val="18"/>
        </w:rPr>
        <w:t xml:space="preserve"> (Anteproyecto de ley orgánica para la </w:t>
      </w:r>
      <w:r>
        <w:rPr>
          <w:rFonts w:ascii="Times New Roman" w:hAnsi="Times New Roman"/>
          <w:sz w:val="18"/>
          <w:szCs w:val="18"/>
        </w:rPr>
        <w:t xml:space="preserve">mejora de la calidad educativa) </w:t>
      </w:r>
      <w:hyperlink r:id="rId11" w:history="1">
        <w:r w:rsidRPr="00954E0A">
          <w:rPr>
            <w:rStyle w:val="Hipervnculo"/>
            <w:rFonts w:ascii="Times New Roman" w:hAnsi="Times New Roman"/>
            <w:sz w:val="18"/>
            <w:szCs w:val="18"/>
          </w:rPr>
          <w:t>http://www.boe.es/buscar/doc.php?coleccion=consejo_estado&amp;id=2013-172</w:t>
        </w:r>
      </w:hyperlink>
    </w:p>
    <w:p w:rsidR="00A76A79" w:rsidRPr="0002451F" w:rsidRDefault="00A76A79" w:rsidP="00A76A79">
      <w:pPr>
        <w:pStyle w:val="Textonotapie"/>
        <w:rPr>
          <w:rFonts w:ascii="Times New Roman" w:hAnsi="Times New Roman"/>
          <w:sz w:val="18"/>
          <w:szCs w:val="18"/>
        </w:rPr>
      </w:pPr>
    </w:p>
  </w:footnote>
  <w:footnote w:id="23">
    <w:p w:rsidR="00A76A79" w:rsidRPr="00CC12C5" w:rsidRDefault="00A76A79" w:rsidP="00A76A79">
      <w:pPr>
        <w:pStyle w:val="Textonotapie"/>
        <w:rPr>
          <w:rFonts w:ascii="Times New Roman" w:hAnsi="Times New Roman"/>
          <w:sz w:val="18"/>
          <w:szCs w:val="18"/>
        </w:rPr>
      </w:pPr>
      <w:r>
        <w:rPr>
          <w:rStyle w:val="Refdenotaalpie"/>
        </w:rPr>
        <w:footnoteRef/>
      </w:r>
      <w:r>
        <w:rPr>
          <w:rFonts w:ascii="Times New Roman" w:hAnsi="Times New Roman"/>
          <w:sz w:val="18"/>
          <w:szCs w:val="18"/>
        </w:rPr>
        <w:t xml:space="preserve"> </w:t>
      </w:r>
      <w:r w:rsidRPr="00CC12C5">
        <w:rPr>
          <w:rFonts w:ascii="Times New Roman" w:hAnsi="Times New Roman"/>
          <w:sz w:val="18"/>
          <w:szCs w:val="18"/>
        </w:rPr>
        <w:t>http://www.abc.es/sociedad/20130607/abci-educacion-ciudadania-europa-201306071908.html</w:t>
      </w:r>
    </w:p>
  </w:footnote>
  <w:footnote w:id="24">
    <w:p w:rsidR="00A76A79" w:rsidRPr="0002451F" w:rsidRDefault="00A76A79" w:rsidP="00A76A79">
      <w:pPr>
        <w:pStyle w:val="Textonotapie"/>
        <w:rPr>
          <w:rFonts w:ascii="Times New Roman" w:hAnsi="Times New Roman"/>
          <w:sz w:val="18"/>
          <w:szCs w:val="18"/>
        </w:rPr>
      </w:pPr>
      <w:r w:rsidRPr="0002451F">
        <w:rPr>
          <w:rStyle w:val="Refdenotaalpie"/>
          <w:rFonts w:ascii="Times New Roman" w:hAnsi="Times New Roman"/>
          <w:sz w:val="18"/>
          <w:szCs w:val="18"/>
        </w:rPr>
        <w:footnoteRef/>
      </w:r>
      <w:r w:rsidRPr="00A7463D">
        <w:rPr>
          <w:rFonts w:ascii="Times New Roman" w:hAnsi="Times New Roman"/>
          <w:i/>
          <w:sz w:val="18"/>
          <w:szCs w:val="18"/>
        </w:rPr>
        <w:t xml:space="preserve"> Ibídem</w:t>
      </w:r>
      <w:r>
        <w:rPr>
          <w:rFonts w:ascii="Times New Roman" w:hAnsi="Times New Roman"/>
          <w:sz w:val="18"/>
          <w:szCs w:val="18"/>
        </w:rPr>
        <w:t xml:space="preserve"> </w:t>
      </w:r>
    </w:p>
  </w:footnote>
  <w:footnote w:id="25">
    <w:p w:rsidR="00A76A79" w:rsidRPr="00F033B9" w:rsidRDefault="00A76A79" w:rsidP="00A76A79">
      <w:pPr>
        <w:pStyle w:val="Textonotapie"/>
        <w:rPr>
          <w:rFonts w:ascii="Times New Roman" w:hAnsi="Times New Roman"/>
          <w:sz w:val="18"/>
          <w:szCs w:val="18"/>
        </w:rPr>
      </w:pPr>
      <w:r w:rsidRPr="00F033B9">
        <w:rPr>
          <w:rStyle w:val="Refdenotaalpie"/>
          <w:rFonts w:ascii="Times New Roman" w:hAnsi="Times New Roman"/>
          <w:sz w:val="18"/>
          <w:szCs w:val="18"/>
        </w:rPr>
        <w:footnoteRef/>
      </w:r>
      <w:r w:rsidRPr="00F033B9">
        <w:rPr>
          <w:rFonts w:ascii="Times New Roman" w:hAnsi="Times New Roman"/>
          <w:sz w:val="18"/>
          <w:szCs w:val="18"/>
        </w:rPr>
        <w:t xml:space="preserve"> </w:t>
      </w:r>
      <w:hyperlink r:id="rId12" w:history="1">
        <w:r w:rsidRPr="00F033B9">
          <w:rPr>
            <w:rStyle w:val="Hipervnculo"/>
            <w:rFonts w:ascii="Times New Roman" w:hAnsi="Times New Roman"/>
            <w:sz w:val="18"/>
            <w:szCs w:val="18"/>
          </w:rPr>
          <w:t>http://epp.eurostat.ec.europa.eu/cache/ITY_OFFPUB/KS-GL-13-002/EN/KS-GL-13-002-EN.PDF</w:t>
        </w:r>
      </w:hyperlink>
    </w:p>
    <w:p w:rsidR="00A76A79" w:rsidRPr="00F033B9" w:rsidRDefault="00A76A79" w:rsidP="00A76A79">
      <w:pPr>
        <w:pStyle w:val="Textonotapie"/>
        <w:rPr>
          <w:rFonts w:ascii="Times New Roman" w:hAnsi="Times New Roman"/>
          <w:sz w:val="18"/>
          <w:szCs w:val="18"/>
        </w:rPr>
      </w:pPr>
    </w:p>
  </w:footnote>
  <w:footnote w:id="26">
    <w:p w:rsidR="00A76A79" w:rsidRDefault="00A76A79" w:rsidP="00A76A79">
      <w:pPr>
        <w:pStyle w:val="Textonotapie"/>
        <w:rPr>
          <w:lang w:val="en-US"/>
        </w:rPr>
      </w:pPr>
      <w:r>
        <w:rPr>
          <w:rStyle w:val="Refdenotaalpie"/>
        </w:rPr>
        <w:footnoteRef/>
      </w:r>
      <w:r w:rsidRPr="00A1412A">
        <w:rPr>
          <w:lang w:val="en-US"/>
        </w:rPr>
        <w:t xml:space="preserve"> See </w:t>
      </w:r>
      <w:hyperlink r:id="rId13" w:history="1">
        <w:r w:rsidRPr="00642CB6">
          <w:rPr>
            <w:rStyle w:val="Hipervnculo"/>
            <w:lang w:val="en-US"/>
          </w:rPr>
          <w:t>http://www.publico.es/espana/423063/represion-policial-en-valencia-contra-las-manifestaciones-de-estudiantes</w:t>
        </w:r>
      </w:hyperlink>
      <w:r>
        <w:rPr>
          <w:lang w:val="en-US"/>
        </w:rPr>
        <w:t xml:space="preserve"> and </w:t>
      </w:r>
      <w:hyperlink r:id="rId14" w:history="1">
        <w:r w:rsidRPr="00642CB6">
          <w:rPr>
            <w:rStyle w:val="Hipervnculo"/>
            <w:lang w:val="en-US"/>
          </w:rPr>
          <w:t>http://www.20minutos.es/noticia/1315142/0/claves-protestas/estudiantes-policia/valencia/</w:t>
        </w:r>
      </w:hyperlink>
    </w:p>
    <w:p w:rsidR="00A76A79" w:rsidRPr="00A1412A" w:rsidRDefault="00A76A79" w:rsidP="00A76A79">
      <w:pPr>
        <w:pStyle w:val="Textonotapie"/>
        <w:rPr>
          <w:lang w:val="en-US"/>
        </w:rPr>
      </w:pPr>
    </w:p>
  </w:footnote>
  <w:footnote w:id="27">
    <w:p w:rsidR="00A76A79" w:rsidRPr="003C6986" w:rsidRDefault="00A76A79" w:rsidP="00A76A79">
      <w:pPr>
        <w:autoSpaceDE w:val="0"/>
        <w:autoSpaceDN w:val="0"/>
        <w:adjustRightInd w:val="0"/>
        <w:spacing w:after="0" w:line="240" w:lineRule="auto"/>
        <w:jc w:val="both"/>
        <w:rPr>
          <w:sz w:val="20"/>
          <w:szCs w:val="20"/>
        </w:rPr>
      </w:pPr>
      <w:r w:rsidRPr="003C6986">
        <w:rPr>
          <w:sz w:val="20"/>
          <w:szCs w:val="20"/>
        </w:rPr>
        <w:footnoteRef/>
      </w:r>
      <w:r>
        <w:rPr>
          <w:sz w:val="20"/>
          <w:szCs w:val="20"/>
        </w:rPr>
        <w:t xml:space="preserve"> This</w:t>
      </w:r>
      <w:r w:rsidRPr="003C6986">
        <w:rPr>
          <w:sz w:val="20"/>
          <w:szCs w:val="20"/>
        </w:rPr>
        <w:t xml:space="preserve"> question is bein</w:t>
      </w:r>
      <w:r>
        <w:rPr>
          <w:sz w:val="20"/>
          <w:szCs w:val="20"/>
        </w:rPr>
        <w:t>g</w:t>
      </w:r>
      <w:r w:rsidRPr="003C6986">
        <w:rPr>
          <w:sz w:val="20"/>
          <w:szCs w:val="20"/>
        </w:rPr>
        <w:t xml:space="preserve"> r</w:t>
      </w:r>
      <w:r>
        <w:rPr>
          <w:sz w:val="20"/>
          <w:szCs w:val="20"/>
        </w:rPr>
        <w:t>esearched in the framework of a</w:t>
      </w:r>
      <w:r w:rsidRPr="003C6986">
        <w:rPr>
          <w:sz w:val="20"/>
          <w:szCs w:val="20"/>
        </w:rPr>
        <w:t xml:space="preserve"> European Project named SOCIETY. See </w:t>
      </w:r>
      <w:hyperlink r:id="rId15" w:history="1">
        <w:r w:rsidRPr="003C6986">
          <w:rPr>
            <w:sz w:val="20"/>
            <w:szCs w:val="20"/>
          </w:rPr>
          <w:t>http://www.society-youth.eu/</w:t>
        </w:r>
      </w:hyperlink>
      <w:r>
        <w:rPr>
          <w:sz w:val="20"/>
          <w:szCs w:val="20"/>
        </w:rPr>
        <w:t xml:space="preserve"> </w:t>
      </w:r>
      <w:r w:rsidRPr="003C6986">
        <w:rPr>
          <w:sz w:val="20"/>
          <w:szCs w:val="20"/>
        </w:rPr>
        <w:t>for more information</w:t>
      </w:r>
    </w:p>
    <w:p w:rsidR="00A76A79" w:rsidRPr="00627984" w:rsidRDefault="00A76A79" w:rsidP="00A76A79">
      <w:pPr>
        <w:pStyle w:val="Textonotapie"/>
        <w:rPr>
          <w:lang w:val="en-US"/>
        </w:rPr>
      </w:pPr>
    </w:p>
  </w:footnote>
  <w:footnote w:id="28">
    <w:p w:rsidR="00A76A79" w:rsidRPr="003C6986" w:rsidRDefault="00A76A79" w:rsidP="00A76A79">
      <w:pPr>
        <w:pStyle w:val="Textonotapie"/>
        <w:rPr>
          <w:lang w:val="en-US"/>
        </w:rPr>
      </w:pPr>
      <w:r>
        <w:rPr>
          <w:rStyle w:val="Refdenotaalpie"/>
        </w:rPr>
        <w:footnoteRef/>
      </w:r>
      <w:r w:rsidRPr="003C6986">
        <w:rPr>
          <w:lang w:val="en-US"/>
        </w:rPr>
        <w:t xml:space="preserve"> See http://sociedad.elpais.com/sociedad/2013/06/04/actualidad/1370360158_098309.html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302" w:rsidRDefault="00D51302">
    <w:pPr>
      <w:pStyle w:val="Encabezado"/>
      <w:jc w:val="right"/>
    </w:pPr>
    <w:r>
      <w:fldChar w:fldCharType="begin"/>
    </w:r>
    <w:r>
      <w:instrText xml:space="preserve"> PAGE   \* MERGEFORMAT </w:instrText>
    </w:r>
    <w:r>
      <w:fldChar w:fldCharType="separate"/>
    </w:r>
    <w:r w:rsidR="00BF0337">
      <w:rPr>
        <w:noProof/>
      </w:rPr>
      <w:t>1</w:t>
    </w:r>
    <w:r>
      <w:fldChar w:fldCharType="end"/>
    </w:r>
  </w:p>
  <w:p w:rsidR="00D51302" w:rsidRDefault="00D513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E6E54"/>
    <w:multiLevelType w:val="hybridMultilevel"/>
    <w:tmpl w:val="CFC4431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20051745"/>
    <w:multiLevelType w:val="hybridMultilevel"/>
    <w:tmpl w:val="F39EB3DC"/>
    <w:lvl w:ilvl="0" w:tplc="0C0A000F">
      <w:start w:val="1"/>
      <w:numFmt w:val="decimal"/>
      <w:lvlText w:val="%1."/>
      <w:lvlJc w:val="left"/>
      <w:pPr>
        <w:ind w:left="928"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A1421A"/>
    <w:multiLevelType w:val="hybridMultilevel"/>
    <w:tmpl w:val="E47C03DC"/>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FF172D"/>
    <w:multiLevelType w:val="hybridMultilevel"/>
    <w:tmpl w:val="56046FC6"/>
    <w:lvl w:ilvl="0" w:tplc="4FD05A1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1E15FC"/>
    <w:multiLevelType w:val="hybridMultilevel"/>
    <w:tmpl w:val="EA4021CE"/>
    <w:lvl w:ilvl="0" w:tplc="4A32DA50">
      <w:start w:val="3"/>
      <w:numFmt w:val="lowerLetter"/>
      <w:lvlText w:val="%1."/>
      <w:lvlJc w:val="left"/>
      <w:pPr>
        <w:ind w:left="1080" w:hanging="360"/>
      </w:pPr>
      <w:rPr>
        <w:rFonts w:eastAsia="Times New Roman" w:hint="default"/>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4134242A"/>
    <w:multiLevelType w:val="hybridMultilevel"/>
    <w:tmpl w:val="3BE89CB4"/>
    <w:lvl w:ilvl="0" w:tplc="C1D6D240">
      <w:start w:val="6"/>
      <w:numFmt w:val="decimal"/>
      <w:lvlText w:val="%1."/>
      <w:lvlJc w:val="left"/>
      <w:pPr>
        <w:ind w:left="9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A8598C"/>
    <w:multiLevelType w:val="hybridMultilevel"/>
    <w:tmpl w:val="3F1CA664"/>
    <w:lvl w:ilvl="0" w:tplc="32A09B32">
      <w:numFmt w:val="bullet"/>
      <w:lvlText w:val="-"/>
      <w:lvlJc w:val="left"/>
      <w:pPr>
        <w:ind w:left="720" w:hanging="360"/>
      </w:pPr>
      <w:rPr>
        <w:rFonts w:ascii="Times New Roman" w:eastAsia="Calibri"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FC12AA6"/>
    <w:multiLevelType w:val="hybridMultilevel"/>
    <w:tmpl w:val="AFC6BB6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9564720"/>
    <w:multiLevelType w:val="multilevel"/>
    <w:tmpl w:val="90E29B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7"/>
  </w:num>
  <w:num w:numId="5">
    <w:abstractNumId w:val="6"/>
  </w:num>
  <w:num w:numId="6">
    <w:abstractNumId w:val="1"/>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DE"/>
    <w:rsid w:val="000A341A"/>
    <w:rsid w:val="002815D7"/>
    <w:rsid w:val="00313D49"/>
    <w:rsid w:val="004357DF"/>
    <w:rsid w:val="004C49AF"/>
    <w:rsid w:val="00551BC9"/>
    <w:rsid w:val="005711C6"/>
    <w:rsid w:val="00575109"/>
    <w:rsid w:val="005E3FF9"/>
    <w:rsid w:val="005E4FF0"/>
    <w:rsid w:val="00621EFA"/>
    <w:rsid w:val="006220FA"/>
    <w:rsid w:val="00663019"/>
    <w:rsid w:val="0072200B"/>
    <w:rsid w:val="00742F43"/>
    <w:rsid w:val="007A0A48"/>
    <w:rsid w:val="007E5508"/>
    <w:rsid w:val="00843849"/>
    <w:rsid w:val="008B31A2"/>
    <w:rsid w:val="008F6B97"/>
    <w:rsid w:val="00940E7E"/>
    <w:rsid w:val="00972F31"/>
    <w:rsid w:val="00986FAE"/>
    <w:rsid w:val="009965D1"/>
    <w:rsid w:val="00A333FF"/>
    <w:rsid w:val="00A76A79"/>
    <w:rsid w:val="00A86653"/>
    <w:rsid w:val="00B4571F"/>
    <w:rsid w:val="00B85AE6"/>
    <w:rsid w:val="00BC3D34"/>
    <w:rsid w:val="00BF0337"/>
    <w:rsid w:val="00C44849"/>
    <w:rsid w:val="00CF7563"/>
    <w:rsid w:val="00D51302"/>
    <w:rsid w:val="00E214B4"/>
    <w:rsid w:val="00ED7AA9"/>
    <w:rsid w:val="00EE5431"/>
    <w:rsid w:val="00F24EC0"/>
    <w:rsid w:val="00F86452"/>
    <w:rsid w:val="00FC7A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06E45-E998-4A1D-A1DE-B8D368C6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CB5"/>
    <w:pPr>
      <w:spacing w:after="200" w:line="276" w:lineRule="auto"/>
    </w:pPr>
    <w:rPr>
      <w:sz w:val="22"/>
      <w:szCs w:val="22"/>
      <w:lang w:val="en-US" w:eastAsia="en-US"/>
    </w:rPr>
  </w:style>
  <w:style w:type="paragraph" w:styleId="Ttulo1">
    <w:name w:val="heading 1"/>
    <w:basedOn w:val="Normal"/>
    <w:next w:val="Normal"/>
    <w:link w:val="Ttulo1Car"/>
    <w:uiPriority w:val="99"/>
    <w:qFormat/>
    <w:rsid w:val="00B61071"/>
    <w:pPr>
      <w:keepNext/>
      <w:keepLines/>
      <w:spacing w:before="480" w:after="0"/>
      <w:outlineLvl w:val="0"/>
    </w:pPr>
    <w:rPr>
      <w:rFonts w:ascii="Cambria" w:eastAsia="Times New Roman" w:hAnsi="Cambria"/>
      <w:b/>
      <w:bCs/>
      <w:color w:val="365F91"/>
      <w:sz w:val="28"/>
      <w:szCs w:val="28"/>
      <w:lang w:val="x-none" w:eastAsia="x-none"/>
    </w:rPr>
  </w:style>
  <w:style w:type="paragraph" w:styleId="Ttulo2">
    <w:name w:val="heading 2"/>
    <w:basedOn w:val="Normal"/>
    <w:next w:val="Normal"/>
    <w:link w:val="Ttulo2Car"/>
    <w:qFormat/>
    <w:rsid w:val="00B61071"/>
    <w:pPr>
      <w:keepNext/>
      <w:spacing w:before="240" w:after="60"/>
      <w:outlineLvl w:val="1"/>
    </w:pPr>
    <w:rPr>
      <w:rFonts w:ascii="Cambria" w:eastAsia="Times New Roman" w:hAnsi="Cambria"/>
      <w:b/>
      <w:bCs/>
      <w:i/>
      <w:iCs/>
      <w:sz w:val="28"/>
      <w:szCs w:val="28"/>
      <w:lang w:val="en-GB"/>
    </w:rPr>
  </w:style>
  <w:style w:type="paragraph" w:styleId="Ttulo4">
    <w:name w:val="heading 4"/>
    <w:basedOn w:val="Normal"/>
    <w:next w:val="Normal"/>
    <w:link w:val="Ttulo4Car"/>
    <w:qFormat/>
    <w:rsid w:val="00B61071"/>
    <w:pPr>
      <w:keepNext/>
      <w:spacing w:before="240" w:after="60"/>
      <w:outlineLvl w:val="3"/>
    </w:pPr>
    <w:rPr>
      <w:rFonts w:eastAsia="Times New Roman"/>
      <w:b/>
      <w:bCs/>
      <w:sz w:val="28"/>
      <w:szCs w:val="2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vistosa-nfasis1">
    <w:name w:val="Colorful List Accent 1"/>
    <w:basedOn w:val="Normal"/>
    <w:uiPriority w:val="34"/>
    <w:qFormat/>
    <w:rsid w:val="00CC6EDE"/>
    <w:pPr>
      <w:ind w:left="720"/>
    </w:pPr>
    <w:rPr>
      <w:rFonts w:eastAsia="Times New Roman" w:cs="Calibri"/>
      <w:lang w:val="en-GB"/>
    </w:rPr>
  </w:style>
  <w:style w:type="paragraph" w:customStyle="1" w:styleId="normal0">
    <w:name w:val="normal"/>
    <w:basedOn w:val="Normal"/>
    <w:rsid w:val="00964C86"/>
    <w:pPr>
      <w:suppressAutoHyphens/>
      <w:spacing w:line="260" w:lineRule="atLeast"/>
      <w:jc w:val="both"/>
    </w:pPr>
    <w:rPr>
      <w:rFonts w:ascii="Arial" w:eastAsia="Times New Roman" w:hAnsi="Arial" w:cs="Arial"/>
      <w:lang w:val="en-GB" w:eastAsia="ar-SA"/>
    </w:rPr>
  </w:style>
  <w:style w:type="character" w:customStyle="1" w:styleId="Textoindependiente2Car">
    <w:name w:val="Texto independiente 2 Car"/>
    <w:rsid w:val="00964C86"/>
    <w:rPr>
      <w:rFonts w:ascii="Arial" w:hAnsi="Arial" w:cs="Arial" w:hint="default"/>
      <w:sz w:val="22"/>
      <w:szCs w:val="24"/>
      <w:lang w:val="en-GB" w:eastAsia="ar-SA" w:bidi="ar-SA"/>
    </w:rPr>
  </w:style>
  <w:style w:type="paragraph" w:styleId="Textodebloque">
    <w:name w:val="Block Text"/>
    <w:basedOn w:val="Normal"/>
    <w:unhideWhenUsed/>
    <w:rsid w:val="001F397F"/>
    <w:pPr>
      <w:widowControl w:val="0"/>
      <w:spacing w:after="0" w:line="240" w:lineRule="auto"/>
      <w:ind w:left="340" w:right="340"/>
    </w:pPr>
    <w:rPr>
      <w:rFonts w:ascii="Garamond" w:eastAsia="Times New Roman" w:hAnsi="Garamond"/>
      <w:szCs w:val="20"/>
      <w:lang w:val="en-GB"/>
    </w:rPr>
  </w:style>
  <w:style w:type="character" w:customStyle="1" w:styleId="personname">
    <w:name w:val="person_name"/>
    <w:basedOn w:val="Fuentedeprrafopredeter"/>
    <w:rsid w:val="00000C47"/>
  </w:style>
  <w:style w:type="character" w:styleId="nfasis">
    <w:name w:val="Emphasis"/>
    <w:uiPriority w:val="20"/>
    <w:qFormat/>
    <w:rsid w:val="00000C47"/>
    <w:rPr>
      <w:i/>
      <w:iCs/>
    </w:rPr>
  </w:style>
  <w:style w:type="character" w:customStyle="1" w:styleId="Ttulo1Car">
    <w:name w:val="Título 1 Car"/>
    <w:link w:val="Ttulo1"/>
    <w:uiPriority w:val="99"/>
    <w:rsid w:val="00B61071"/>
    <w:rPr>
      <w:rFonts w:ascii="Cambria" w:eastAsia="Times New Roman" w:hAnsi="Cambria"/>
      <w:b/>
      <w:bCs/>
      <w:color w:val="365F91"/>
      <w:sz w:val="28"/>
      <w:szCs w:val="28"/>
      <w:lang w:val="x-none" w:eastAsia="x-none"/>
    </w:rPr>
  </w:style>
  <w:style w:type="character" w:customStyle="1" w:styleId="Ttulo2Car">
    <w:name w:val="Título 2 Car"/>
    <w:link w:val="Ttulo2"/>
    <w:rsid w:val="00B61071"/>
    <w:rPr>
      <w:rFonts w:ascii="Cambria" w:eastAsia="Times New Roman" w:hAnsi="Cambria"/>
      <w:b/>
      <w:bCs/>
      <w:i/>
      <w:iCs/>
      <w:sz w:val="28"/>
      <w:szCs w:val="28"/>
      <w:lang w:val="en-GB" w:eastAsia="en-US"/>
    </w:rPr>
  </w:style>
  <w:style w:type="character" w:customStyle="1" w:styleId="Ttulo4Car">
    <w:name w:val="Título 4 Car"/>
    <w:link w:val="Ttulo4"/>
    <w:semiHidden/>
    <w:rsid w:val="00B61071"/>
    <w:rPr>
      <w:rFonts w:eastAsia="Times New Roman"/>
      <w:b/>
      <w:bCs/>
      <w:sz w:val="28"/>
      <w:szCs w:val="28"/>
      <w:lang w:val="en-GB" w:eastAsia="en-US"/>
    </w:rPr>
  </w:style>
  <w:style w:type="character" w:styleId="Textoennegrita">
    <w:name w:val="Strong"/>
    <w:uiPriority w:val="22"/>
    <w:qFormat/>
    <w:rsid w:val="00B61071"/>
    <w:rPr>
      <w:b/>
      <w:bCs/>
    </w:rPr>
  </w:style>
  <w:style w:type="paragraph" w:customStyle="1" w:styleId="publine">
    <w:name w:val="publine"/>
    <w:basedOn w:val="Normal"/>
    <w:rsid w:val="00B61071"/>
    <w:pPr>
      <w:spacing w:before="100" w:beforeAutospacing="1" w:after="240" w:line="240" w:lineRule="auto"/>
    </w:pPr>
    <w:rPr>
      <w:rFonts w:ascii="Tahoma" w:eastAsia="Times New Roman" w:hAnsi="Tahoma" w:cs="Tahoma"/>
      <w:lang w:val="en-ZA" w:eastAsia="en-ZA"/>
    </w:rPr>
  </w:style>
  <w:style w:type="paragraph" w:styleId="Textonotapie">
    <w:name w:val="footnote text"/>
    <w:basedOn w:val="Normal"/>
    <w:link w:val="TextonotapieCar"/>
    <w:unhideWhenUsed/>
    <w:rsid w:val="007D4CDA"/>
    <w:pPr>
      <w:spacing w:after="0" w:line="240" w:lineRule="auto"/>
    </w:pPr>
    <w:rPr>
      <w:sz w:val="20"/>
      <w:szCs w:val="20"/>
      <w:lang w:val="es-ES"/>
    </w:rPr>
  </w:style>
  <w:style w:type="character" w:customStyle="1" w:styleId="TextonotapieCar">
    <w:name w:val="Texto nota pie Car"/>
    <w:link w:val="Textonotapie"/>
    <w:uiPriority w:val="99"/>
    <w:rsid w:val="007D4CDA"/>
    <w:rPr>
      <w:lang w:eastAsia="en-US"/>
    </w:rPr>
  </w:style>
  <w:style w:type="character" w:styleId="Refdenotaalpie">
    <w:name w:val="footnote reference"/>
    <w:unhideWhenUsed/>
    <w:rsid w:val="007D4CDA"/>
    <w:rPr>
      <w:vertAlign w:val="superscript"/>
    </w:rPr>
  </w:style>
  <w:style w:type="paragraph" w:customStyle="1" w:styleId="Default">
    <w:name w:val="Default"/>
    <w:rsid w:val="007D4CDA"/>
    <w:pPr>
      <w:autoSpaceDE w:val="0"/>
      <w:autoSpaceDN w:val="0"/>
      <w:adjustRightInd w:val="0"/>
    </w:pPr>
    <w:rPr>
      <w:rFonts w:ascii="Verdana" w:hAnsi="Verdana" w:cs="Verdana"/>
      <w:color w:val="000000"/>
      <w:sz w:val="24"/>
      <w:szCs w:val="24"/>
      <w:lang w:eastAsia="en-US"/>
    </w:rPr>
  </w:style>
  <w:style w:type="character" w:styleId="Hipervnculo">
    <w:name w:val="Hyperlink"/>
    <w:uiPriority w:val="99"/>
    <w:unhideWhenUsed/>
    <w:rsid w:val="007D4CDA"/>
    <w:rPr>
      <w:color w:val="0000FF"/>
      <w:u w:val="single"/>
    </w:rPr>
  </w:style>
  <w:style w:type="character" w:customStyle="1" w:styleId="st">
    <w:name w:val="st"/>
    <w:basedOn w:val="Fuentedeprrafopredeter"/>
    <w:rsid w:val="007D4CDA"/>
  </w:style>
  <w:style w:type="character" w:customStyle="1" w:styleId="spipsurligne">
    <w:name w:val="spip_surligne"/>
    <w:basedOn w:val="Fuentedeprrafopredeter"/>
    <w:rsid w:val="00487B33"/>
  </w:style>
  <w:style w:type="character" w:styleId="Refdecomentario">
    <w:name w:val="annotation reference"/>
    <w:uiPriority w:val="99"/>
    <w:semiHidden/>
    <w:unhideWhenUsed/>
    <w:rsid w:val="00B75D9C"/>
    <w:rPr>
      <w:sz w:val="16"/>
      <w:szCs w:val="16"/>
    </w:rPr>
  </w:style>
  <w:style w:type="paragraph" w:styleId="Textocomentario">
    <w:name w:val="annotation text"/>
    <w:basedOn w:val="Normal"/>
    <w:link w:val="TextocomentarioCar"/>
    <w:uiPriority w:val="99"/>
    <w:semiHidden/>
    <w:unhideWhenUsed/>
    <w:rsid w:val="00B75D9C"/>
    <w:rPr>
      <w:sz w:val="20"/>
      <w:szCs w:val="20"/>
    </w:rPr>
  </w:style>
  <w:style w:type="character" w:customStyle="1" w:styleId="TextocomentarioCar">
    <w:name w:val="Texto comentario Car"/>
    <w:link w:val="Textocomentario"/>
    <w:uiPriority w:val="99"/>
    <w:semiHidden/>
    <w:rsid w:val="00B75D9C"/>
    <w:rPr>
      <w:lang w:val="en-US" w:eastAsia="en-US"/>
    </w:rPr>
  </w:style>
  <w:style w:type="paragraph" w:styleId="Asuntodelcomentario">
    <w:name w:val="annotation subject"/>
    <w:basedOn w:val="Textocomentario"/>
    <w:next w:val="Textocomentario"/>
    <w:link w:val="AsuntodelcomentarioCar"/>
    <w:uiPriority w:val="99"/>
    <w:semiHidden/>
    <w:unhideWhenUsed/>
    <w:rsid w:val="00B75D9C"/>
    <w:rPr>
      <w:b/>
      <w:bCs/>
    </w:rPr>
  </w:style>
  <w:style w:type="character" w:customStyle="1" w:styleId="AsuntodelcomentarioCar">
    <w:name w:val="Asunto del comentario Car"/>
    <w:link w:val="Asuntodelcomentario"/>
    <w:uiPriority w:val="99"/>
    <w:semiHidden/>
    <w:rsid w:val="00B75D9C"/>
    <w:rPr>
      <w:b/>
      <w:bCs/>
      <w:lang w:val="en-US" w:eastAsia="en-US"/>
    </w:rPr>
  </w:style>
  <w:style w:type="paragraph" w:styleId="Textodeglobo">
    <w:name w:val="Balloon Text"/>
    <w:basedOn w:val="Normal"/>
    <w:link w:val="TextodegloboCar"/>
    <w:uiPriority w:val="99"/>
    <w:semiHidden/>
    <w:unhideWhenUsed/>
    <w:rsid w:val="00B75D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75D9C"/>
    <w:rPr>
      <w:rFonts w:ascii="Tahoma" w:hAnsi="Tahoma" w:cs="Tahoma"/>
      <w:sz w:val="16"/>
      <w:szCs w:val="16"/>
      <w:lang w:val="en-US" w:eastAsia="en-US"/>
    </w:rPr>
  </w:style>
  <w:style w:type="paragraph" w:styleId="Encabezado">
    <w:name w:val="header"/>
    <w:basedOn w:val="Normal"/>
    <w:link w:val="EncabezadoCar"/>
    <w:uiPriority w:val="99"/>
    <w:rsid w:val="00D51302"/>
    <w:pPr>
      <w:tabs>
        <w:tab w:val="center" w:pos="4252"/>
        <w:tab w:val="right" w:pos="8504"/>
      </w:tabs>
    </w:pPr>
  </w:style>
  <w:style w:type="character" w:customStyle="1" w:styleId="EncabezadoCar">
    <w:name w:val="Encabezado Car"/>
    <w:link w:val="Encabezado"/>
    <w:uiPriority w:val="99"/>
    <w:rsid w:val="00D51302"/>
    <w:rPr>
      <w:sz w:val="22"/>
      <w:szCs w:val="22"/>
      <w:lang w:val="en-US" w:eastAsia="en-US"/>
    </w:rPr>
  </w:style>
  <w:style w:type="paragraph" w:styleId="Piedepgina">
    <w:name w:val="footer"/>
    <w:basedOn w:val="Normal"/>
    <w:link w:val="PiedepginaCar"/>
    <w:rsid w:val="00D51302"/>
    <w:pPr>
      <w:tabs>
        <w:tab w:val="center" w:pos="4252"/>
        <w:tab w:val="right" w:pos="8504"/>
      </w:tabs>
    </w:pPr>
  </w:style>
  <w:style w:type="character" w:customStyle="1" w:styleId="PiedepginaCar">
    <w:name w:val="Pie de página Car"/>
    <w:link w:val="Piedepgina"/>
    <w:rsid w:val="00D5130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8506">
      <w:bodyDiv w:val="1"/>
      <w:marLeft w:val="0"/>
      <w:marRight w:val="0"/>
      <w:marTop w:val="0"/>
      <w:marBottom w:val="0"/>
      <w:divBdr>
        <w:top w:val="none" w:sz="0" w:space="0" w:color="auto"/>
        <w:left w:val="none" w:sz="0" w:space="0" w:color="auto"/>
        <w:bottom w:val="none" w:sz="0" w:space="0" w:color="auto"/>
        <w:right w:val="none" w:sz="0" w:space="0" w:color="auto"/>
      </w:divBdr>
    </w:div>
    <w:div w:id="115948823">
      <w:bodyDiv w:val="1"/>
      <w:marLeft w:val="0"/>
      <w:marRight w:val="0"/>
      <w:marTop w:val="0"/>
      <w:marBottom w:val="0"/>
      <w:divBdr>
        <w:top w:val="none" w:sz="0" w:space="0" w:color="auto"/>
        <w:left w:val="none" w:sz="0" w:space="0" w:color="auto"/>
        <w:bottom w:val="none" w:sz="0" w:space="0" w:color="auto"/>
        <w:right w:val="none" w:sz="0" w:space="0" w:color="auto"/>
      </w:divBdr>
    </w:div>
    <w:div w:id="335042581">
      <w:bodyDiv w:val="1"/>
      <w:marLeft w:val="0"/>
      <w:marRight w:val="0"/>
      <w:marTop w:val="0"/>
      <w:marBottom w:val="0"/>
      <w:divBdr>
        <w:top w:val="none" w:sz="0" w:space="0" w:color="auto"/>
        <w:left w:val="none" w:sz="0" w:space="0" w:color="auto"/>
        <w:bottom w:val="none" w:sz="0" w:space="0" w:color="auto"/>
        <w:right w:val="none" w:sz="0" w:space="0" w:color="auto"/>
      </w:divBdr>
      <w:divsChild>
        <w:div w:id="292902377">
          <w:marLeft w:val="0"/>
          <w:marRight w:val="0"/>
          <w:marTop w:val="0"/>
          <w:marBottom w:val="0"/>
          <w:divBdr>
            <w:top w:val="none" w:sz="0" w:space="0" w:color="auto"/>
            <w:left w:val="none" w:sz="0" w:space="0" w:color="auto"/>
            <w:bottom w:val="none" w:sz="0" w:space="0" w:color="auto"/>
            <w:right w:val="none" w:sz="0" w:space="0" w:color="auto"/>
          </w:divBdr>
        </w:div>
        <w:div w:id="753554292">
          <w:marLeft w:val="0"/>
          <w:marRight w:val="0"/>
          <w:marTop w:val="0"/>
          <w:marBottom w:val="0"/>
          <w:divBdr>
            <w:top w:val="none" w:sz="0" w:space="0" w:color="auto"/>
            <w:left w:val="none" w:sz="0" w:space="0" w:color="auto"/>
            <w:bottom w:val="none" w:sz="0" w:space="0" w:color="auto"/>
            <w:right w:val="none" w:sz="0" w:space="0" w:color="auto"/>
          </w:divBdr>
        </w:div>
        <w:div w:id="782965201">
          <w:marLeft w:val="0"/>
          <w:marRight w:val="0"/>
          <w:marTop w:val="0"/>
          <w:marBottom w:val="0"/>
          <w:divBdr>
            <w:top w:val="none" w:sz="0" w:space="0" w:color="auto"/>
            <w:left w:val="none" w:sz="0" w:space="0" w:color="auto"/>
            <w:bottom w:val="none" w:sz="0" w:space="0" w:color="auto"/>
            <w:right w:val="none" w:sz="0" w:space="0" w:color="auto"/>
          </w:divBdr>
        </w:div>
        <w:div w:id="1305085382">
          <w:marLeft w:val="0"/>
          <w:marRight w:val="0"/>
          <w:marTop w:val="0"/>
          <w:marBottom w:val="0"/>
          <w:divBdr>
            <w:top w:val="none" w:sz="0" w:space="0" w:color="auto"/>
            <w:left w:val="none" w:sz="0" w:space="0" w:color="auto"/>
            <w:bottom w:val="none" w:sz="0" w:space="0" w:color="auto"/>
            <w:right w:val="none" w:sz="0" w:space="0" w:color="auto"/>
          </w:divBdr>
        </w:div>
        <w:div w:id="1723559076">
          <w:marLeft w:val="0"/>
          <w:marRight w:val="0"/>
          <w:marTop w:val="0"/>
          <w:marBottom w:val="0"/>
          <w:divBdr>
            <w:top w:val="none" w:sz="0" w:space="0" w:color="auto"/>
            <w:left w:val="none" w:sz="0" w:space="0" w:color="auto"/>
            <w:bottom w:val="none" w:sz="0" w:space="0" w:color="auto"/>
            <w:right w:val="none" w:sz="0" w:space="0" w:color="auto"/>
          </w:divBdr>
        </w:div>
        <w:div w:id="1809005851">
          <w:marLeft w:val="0"/>
          <w:marRight w:val="0"/>
          <w:marTop w:val="0"/>
          <w:marBottom w:val="0"/>
          <w:divBdr>
            <w:top w:val="none" w:sz="0" w:space="0" w:color="auto"/>
            <w:left w:val="none" w:sz="0" w:space="0" w:color="auto"/>
            <w:bottom w:val="none" w:sz="0" w:space="0" w:color="auto"/>
            <w:right w:val="none" w:sz="0" w:space="0" w:color="auto"/>
          </w:divBdr>
        </w:div>
        <w:div w:id="2041736788">
          <w:marLeft w:val="0"/>
          <w:marRight w:val="0"/>
          <w:marTop w:val="0"/>
          <w:marBottom w:val="0"/>
          <w:divBdr>
            <w:top w:val="none" w:sz="0" w:space="0" w:color="auto"/>
            <w:left w:val="none" w:sz="0" w:space="0" w:color="auto"/>
            <w:bottom w:val="none" w:sz="0" w:space="0" w:color="auto"/>
            <w:right w:val="none" w:sz="0" w:space="0" w:color="auto"/>
          </w:divBdr>
        </w:div>
      </w:divsChild>
    </w:div>
    <w:div w:id="417365733">
      <w:bodyDiv w:val="1"/>
      <w:marLeft w:val="0"/>
      <w:marRight w:val="0"/>
      <w:marTop w:val="0"/>
      <w:marBottom w:val="0"/>
      <w:divBdr>
        <w:top w:val="none" w:sz="0" w:space="0" w:color="auto"/>
        <w:left w:val="none" w:sz="0" w:space="0" w:color="auto"/>
        <w:bottom w:val="none" w:sz="0" w:space="0" w:color="auto"/>
        <w:right w:val="none" w:sz="0" w:space="0" w:color="auto"/>
      </w:divBdr>
    </w:div>
    <w:div w:id="458763000">
      <w:bodyDiv w:val="1"/>
      <w:marLeft w:val="0"/>
      <w:marRight w:val="0"/>
      <w:marTop w:val="0"/>
      <w:marBottom w:val="0"/>
      <w:divBdr>
        <w:top w:val="none" w:sz="0" w:space="0" w:color="auto"/>
        <w:left w:val="none" w:sz="0" w:space="0" w:color="auto"/>
        <w:bottom w:val="none" w:sz="0" w:space="0" w:color="auto"/>
        <w:right w:val="none" w:sz="0" w:space="0" w:color="auto"/>
      </w:divBdr>
      <w:divsChild>
        <w:div w:id="307252656">
          <w:marLeft w:val="0"/>
          <w:marRight w:val="0"/>
          <w:marTop w:val="0"/>
          <w:marBottom w:val="0"/>
          <w:divBdr>
            <w:top w:val="none" w:sz="0" w:space="0" w:color="auto"/>
            <w:left w:val="none" w:sz="0" w:space="0" w:color="auto"/>
            <w:bottom w:val="none" w:sz="0" w:space="0" w:color="auto"/>
            <w:right w:val="none" w:sz="0" w:space="0" w:color="auto"/>
          </w:divBdr>
        </w:div>
        <w:div w:id="460880390">
          <w:marLeft w:val="0"/>
          <w:marRight w:val="0"/>
          <w:marTop w:val="0"/>
          <w:marBottom w:val="0"/>
          <w:divBdr>
            <w:top w:val="none" w:sz="0" w:space="0" w:color="auto"/>
            <w:left w:val="none" w:sz="0" w:space="0" w:color="auto"/>
            <w:bottom w:val="none" w:sz="0" w:space="0" w:color="auto"/>
            <w:right w:val="none" w:sz="0" w:space="0" w:color="auto"/>
          </w:divBdr>
        </w:div>
        <w:div w:id="471095796">
          <w:marLeft w:val="0"/>
          <w:marRight w:val="0"/>
          <w:marTop w:val="0"/>
          <w:marBottom w:val="0"/>
          <w:divBdr>
            <w:top w:val="none" w:sz="0" w:space="0" w:color="auto"/>
            <w:left w:val="none" w:sz="0" w:space="0" w:color="auto"/>
            <w:bottom w:val="none" w:sz="0" w:space="0" w:color="auto"/>
            <w:right w:val="none" w:sz="0" w:space="0" w:color="auto"/>
          </w:divBdr>
        </w:div>
        <w:div w:id="632635877">
          <w:marLeft w:val="0"/>
          <w:marRight w:val="0"/>
          <w:marTop w:val="0"/>
          <w:marBottom w:val="0"/>
          <w:divBdr>
            <w:top w:val="none" w:sz="0" w:space="0" w:color="auto"/>
            <w:left w:val="none" w:sz="0" w:space="0" w:color="auto"/>
            <w:bottom w:val="none" w:sz="0" w:space="0" w:color="auto"/>
            <w:right w:val="none" w:sz="0" w:space="0" w:color="auto"/>
          </w:divBdr>
        </w:div>
        <w:div w:id="707604009">
          <w:marLeft w:val="0"/>
          <w:marRight w:val="0"/>
          <w:marTop w:val="0"/>
          <w:marBottom w:val="0"/>
          <w:divBdr>
            <w:top w:val="none" w:sz="0" w:space="0" w:color="auto"/>
            <w:left w:val="none" w:sz="0" w:space="0" w:color="auto"/>
            <w:bottom w:val="none" w:sz="0" w:space="0" w:color="auto"/>
            <w:right w:val="none" w:sz="0" w:space="0" w:color="auto"/>
          </w:divBdr>
        </w:div>
        <w:div w:id="883323989">
          <w:marLeft w:val="0"/>
          <w:marRight w:val="0"/>
          <w:marTop w:val="0"/>
          <w:marBottom w:val="0"/>
          <w:divBdr>
            <w:top w:val="none" w:sz="0" w:space="0" w:color="auto"/>
            <w:left w:val="none" w:sz="0" w:space="0" w:color="auto"/>
            <w:bottom w:val="none" w:sz="0" w:space="0" w:color="auto"/>
            <w:right w:val="none" w:sz="0" w:space="0" w:color="auto"/>
          </w:divBdr>
        </w:div>
        <w:div w:id="1068847406">
          <w:marLeft w:val="0"/>
          <w:marRight w:val="0"/>
          <w:marTop w:val="0"/>
          <w:marBottom w:val="0"/>
          <w:divBdr>
            <w:top w:val="none" w:sz="0" w:space="0" w:color="auto"/>
            <w:left w:val="none" w:sz="0" w:space="0" w:color="auto"/>
            <w:bottom w:val="none" w:sz="0" w:space="0" w:color="auto"/>
            <w:right w:val="none" w:sz="0" w:space="0" w:color="auto"/>
          </w:divBdr>
        </w:div>
        <w:div w:id="1169831545">
          <w:marLeft w:val="0"/>
          <w:marRight w:val="0"/>
          <w:marTop w:val="0"/>
          <w:marBottom w:val="0"/>
          <w:divBdr>
            <w:top w:val="none" w:sz="0" w:space="0" w:color="auto"/>
            <w:left w:val="none" w:sz="0" w:space="0" w:color="auto"/>
            <w:bottom w:val="none" w:sz="0" w:space="0" w:color="auto"/>
            <w:right w:val="none" w:sz="0" w:space="0" w:color="auto"/>
          </w:divBdr>
        </w:div>
        <w:div w:id="1286160209">
          <w:marLeft w:val="0"/>
          <w:marRight w:val="0"/>
          <w:marTop w:val="0"/>
          <w:marBottom w:val="0"/>
          <w:divBdr>
            <w:top w:val="none" w:sz="0" w:space="0" w:color="auto"/>
            <w:left w:val="none" w:sz="0" w:space="0" w:color="auto"/>
            <w:bottom w:val="none" w:sz="0" w:space="0" w:color="auto"/>
            <w:right w:val="none" w:sz="0" w:space="0" w:color="auto"/>
          </w:divBdr>
        </w:div>
        <w:div w:id="1380589777">
          <w:marLeft w:val="0"/>
          <w:marRight w:val="0"/>
          <w:marTop w:val="0"/>
          <w:marBottom w:val="0"/>
          <w:divBdr>
            <w:top w:val="none" w:sz="0" w:space="0" w:color="auto"/>
            <w:left w:val="none" w:sz="0" w:space="0" w:color="auto"/>
            <w:bottom w:val="none" w:sz="0" w:space="0" w:color="auto"/>
            <w:right w:val="none" w:sz="0" w:space="0" w:color="auto"/>
          </w:divBdr>
        </w:div>
        <w:div w:id="1437557997">
          <w:marLeft w:val="0"/>
          <w:marRight w:val="0"/>
          <w:marTop w:val="0"/>
          <w:marBottom w:val="0"/>
          <w:divBdr>
            <w:top w:val="none" w:sz="0" w:space="0" w:color="auto"/>
            <w:left w:val="none" w:sz="0" w:space="0" w:color="auto"/>
            <w:bottom w:val="none" w:sz="0" w:space="0" w:color="auto"/>
            <w:right w:val="none" w:sz="0" w:space="0" w:color="auto"/>
          </w:divBdr>
        </w:div>
        <w:div w:id="1639995880">
          <w:marLeft w:val="0"/>
          <w:marRight w:val="0"/>
          <w:marTop w:val="0"/>
          <w:marBottom w:val="0"/>
          <w:divBdr>
            <w:top w:val="none" w:sz="0" w:space="0" w:color="auto"/>
            <w:left w:val="none" w:sz="0" w:space="0" w:color="auto"/>
            <w:bottom w:val="none" w:sz="0" w:space="0" w:color="auto"/>
            <w:right w:val="none" w:sz="0" w:space="0" w:color="auto"/>
          </w:divBdr>
        </w:div>
        <w:div w:id="1866600153">
          <w:marLeft w:val="0"/>
          <w:marRight w:val="0"/>
          <w:marTop w:val="0"/>
          <w:marBottom w:val="0"/>
          <w:divBdr>
            <w:top w:val="none" w:sz="0" w:space="0" w:color="auto"/>
            <w:left w:val="none" w:sz="0" w:space="0" w:color="auto"/>
            <w:bottom w:val="none" w:sz="0" w:space="0" w:color="auto"/>
            <w:right w:val="none" w:sz="0" w:space="0" w:color="auto"/>
          </w:divBdr>
        </w:div>
        <w:div w:id="1913462034">
          <w:marLeft w:val="0"/>
          <w:marRight w:val="0"/>
          <w:marTop w:val="0"/>
          <w:marBottom w:val="0"/>
          <w:divBdr>
            <w:top w:val="none" w:sz="0" w:space="0" w:color="auto"/>
            <w:left w:val="none" w:sz="0" w:space="0" w:color="auto"/>
            <w:bottom w:val="none" w:sz="0" w:space="0" w:color="auto"/>
            <w:right w:val="none" w:sz="0" w:space="0" w:color="auto"/>
          </w:divBdr>
        </w:div>
        <w:div w:id="1941795679">
          <w:marLeft w:val="0"/>
          <w:marRight w:val="0"/>
          <w:marTop w:val="0"/>
          <w:marBottom w:val="0"/>
          <w:divBdr>
            <w:top w:val="none" w:sz="0" w:space="0" w:color="auto"/>
            <w:left w:val="none" w:sz="0" w:space="0" w:color="auto"/>
            <w:bottom w:val="none" w:sz="0" w:space="0" w:color="auto"/>
            <w:right w:val="none" w:sz="0" w:space="0" w:color="auto"/>
          </w:divBdr>
        </w:div>
        <w:div w:id="2033410086">
          <w:marLeft w:val="0"/>
          <w:marRight w:val="0"/>
          <w:marTop w:val="0"/>
          <w:marBottom w:val="0"/>
          <w:divBdr>
            <w:top w:val="none" w:sz="0" w:space="0" w:color="auto"/>
            <w:left w:val="none" w:sz="0" w:space="0" w:color="auto"/>
            <w:bottom w:val="none" w:sz="0" w:space="0" w:color="auto"/>
            <w:right w:val="none" w:sz="0" w:space="0" w:color="auto"/>
          </w:divBdr>
        </w:div>
        <w:div w:id="2065712886">
          <w:marLeft w:val="0"/>
          <w:marRight w:val="0"/>
          <w:marTop w:val="0"/>
          <w:marBottom w:val="0"/>
          <w:divBdr>
            <w:top w:val="none" w:sz="0" w:space="0" w:color="auto"/>
            <w:left w:val="none" w:sz="0" w:space="0" w:color="auto"/>
            <w:bottom w:val="none" w:sz="0" w:space="0" w:color="auto"/>
            <w:right w:val="none" w:sz="0" w:space="0" w:color="auto"/>
          </w:divBdr>
        </w:div>
        <w:div w:id="2123838281">
          <w:marLeft w:val="0"/>
          <w:marRight w:val="0"/>
          <w:marTop w:val="0"/>
          <w:marBottom w:val="0"/>
          <w:divBdr>
            <w:top w:val="none" w:sz="0" w:space="0" w:color="auto"/>
            <w:left w:val="none" w:sz="0" w:space="0" w:color="auto"/>
            <w:bottom w:val="none" w:sz="0" w:space="0" w:color="auto"/>
            <w:right w:val="none" w:sz="0" w:space="0" w:color="auto"/>
          </w:divBdr>
        </w:div>
      </w:divsChild>
    </w:div>
    <w:div w:id="844707118">
      <w:bodyDiv w:val="1"/>
      <w:marLeft w:val="0"/>
      <w:marRight w:val="0"/>
      <w:marTop w:val="0"/>
      <w:marBottom w:val="0"/>
      <w:divBdr>
        <w:top w:val="none" w:sz="0" w:space="0" w:color="auto"/>
        <w:left w:val="none" w:sz="0" w:space="0" w:color="auto"/>
        <w:bottom w:val="none" w:sz="0" w:space="0" w:color="auto"/>
        <w:right w:val="none" w:sz="0" w:space="0" w:color="auto"/>
      </w:divBdr>
    </w:div>
    <w:div w:id="1163349653">
      <w:bodyDiv w:val="1"/>
      <w:marLeft w:val="0"/>
      <w:marRight w:val="0"/>
      <w:marTop w:val="0"/>
      <w:marBottom w:val="0"/>
      <w:divBdr>
        <w:top w:val="none" w:sz="0" w:space="0" w:color="auto"/>
        <w:left w:val="none" w:sz="0" w:space="0" w:color="auto"/>
        <w:bottom w:val="none" w:sz="0" w:space="0" w:color="auto"/>
        <w:right w:val="none" w:sz="0" w:space="0" w:color="auto"/>
      </w:divBdr>
    </w:div>
    <w:div w:id="1192113493">
      <w:bodyDiv w:val="1"/>
      <w:marLeft w:val="0"/>
      <w:marRight w:val="0"/>
      <w:marTop w:val="0"/>
      <w:marBottom w:val="0"/>
      <w:divBdr>
        <w:top w:val="none" w:sz="0" w:space="0" w:color="auto"/>
        <w:left w:val="none" w:sz="0" w:space="0" w:color="auto"/>
        <w:bottom w:val="none" w:sz="0" w:space="0" w:color="auto"/>
        <w:right w:val="none" w:sz="0" w:space="0" w:color="auto"/>
      </w:divBdr>
    </w:div>
    <w:div w:id="1280264307">
      <w:bodyDiv w:val="1"/>
      <w:marLeft w:val="0"/>
      <w:marRight w:val="0"/>
      <w:marTop w:val="0"/>
      <w:marBottom w:val="0"/>
      <w:divBdr>
        <w:top w:val="none" w:sz="0" w:space="0" w:color="auto"/>
        <w:left w:val="none" w:sz="0" w:space="0" w:color="auto"/>
        <w:bottom w:val="none" w:sz="0" w:space="0" w:color="auto"/>
        <w:right w:val="none" w:sz="0" w:space="0" w:color="auto"/>
      </w:divBdr>
    </w:div>
    <w:div w:id="1314600354">
      <w:bodyDiv w:val="1"/>
      <w:marLeft w:val="0"/>
      <w:marRight w:val="0"/>
      <w:marTop w:val="0"/>
      <w:marBottom w:val="0"/>
      <w:divBdr>
        <w:top w:val="none" w:sz="0" w:space="0" w:color="auto"/>
        <w:left w:val="none" w:sz="0" w:space="0" w:color="auto"/>
        <w:bottom w:val="none" w:sz="0" w:space="0" w:color="auto"/>
        <w:right w:val="none" w:sz="0" w:space="0" w:color="auto"/>
      </w:divBdr>
    </w:div>
    <w:div w:id="1596326834">
      <w:bodyDiv w:val="1"/>
      <w:marLeft w:val="0"/>
      <w:marRight w:val="0"/>
      <w:marTop w:val="0"/>
      <w:marBottom w:val="0"/>
      <w:divBdr>
        <w:top w:val="none" w:sz="0" w:space="0" w:color="auto"/>
        <w:left w:val="none" w:sz="0" w:space="0" w:color="auto"/>
        <w:bottom w:val="none" w:sz="0" w:space="0" w:color="auto"/>
        <w:right w:val="none" w:sz="0" w:space="0" w:color="auto"/>
      </w:divBdr>
    </w:div>
    <w:div w:id="1639384262">
      <w:bodyDiv w:val="1"/>
      <w:marLeft w:val="0"/>
      <w:marRight w:val="0"/>
      <w:marTop w:val="0"/>
      <w:marBottom w:val="0"/>
      <w:divBdr>
        <w:top w:val="none" w:sz="0" w:space="0" w:color="auto"/>
        <w:left w:val="none" w:sz="0" w:space="0" w:color="auto"/>
        <w:bottom w:val="none" w:sz="0" w:space="0" w:color="auto"/>
        <w:right w:val="none" w:sz="0" w:space="0" w:color="auto"/>
      </w:divBdr>
    </w:div>
    <w:div w:id="214499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gdc.feteugt.es/cuteeditornet/imagenes/2013/P%C3%BAblica/PUBretribuciones_escuela398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utledge.com/books/search/author/tatiana_zimenkova/" TargetMode="External"/><Relationship Id="rId4" Type="http://schemas.openxmlformats.org/officeDocument/2006/relationships/settings" Target="settings.xml"/><Relationship Id="rId9" Type="http://schemas.openxmlformats.org/officeDocument/2006/relationships/hyperlink" Target="http://www.routledge.com/books/search/author/reinhold_hedtk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oe.es/boe/dias/2010/05/24/pdfs/BOE-A-2010-8228.pdf" TargetMode="External"/><Relationship Id="rId13" Type="http://schemas.openxmlformats.org/officeDocument/2006/relationships/hyperlink" Target="http://www.publico.es/espana/423063/represion-policial-en-valencia-contra-las-manifestaciones-de-estudiantes" TargetMode="External"/><Relationship Id="rId3" Type="http://schemas.openxmlformats.org/officeDocument/2006/relationships/hyperlink" Target="http://www.ine.es/daco/daco42/daco421/ipc0012.pdf" TargetMode="External"/><Relationship Id="rId7" Type="http://schemas.openxmlformats.org/officeDocument/2006/relationships/hyperlink" Target="http://www.crue.org/doc_portada/Junio_2013/2013.06.27_Comunicado_RD_Becas.pdf" TargetMode="External"/><Relationship Id="rId12" Type="http://schemas.openxmlformats.org/officeDocument/2006/relationships/hyperlink" Target="http://epp.eurostat.ec.europa.eu/cache/ITY_OFFPUB/KS-GL-13-002/EN/KS-GL-13-002-EN.PDF" TargetMode="External"/><Relationship Id="rId2" Type="http://schemas.openxmlformats.org/officeDocument/2006/relationships/hyperlink" Target="http://www.lamoncloa.gob.es/ConsejodeMinistros/Referencias/_2012/refc20120420.htm" TargetMode="External"/><Relationship Id="rId1" Type="http://schemas.openxmlformats.org/officeDocument/2006/relationships/hyperlink" Target="http://www.elmundo.es/elmundo/2012/graficos/mar/s5/presupuestos.html" TargetMode="External"/><Relationship Id="rId6" Type="http://schemas.openxmlformats.org/officeDocument/2006/relationships/hyperlink" Target="http://www.dudasbecasmec.com/2013/07/el-presupuesto-destinado-becas-en.html" TargetMode="External"/><Relationship Id="rId11" Type="http://schemas.openxmlformats.org/officeDocument/2006/relationships/hyperlink" Target="http://www.boe.es/buscar/doc.php?coleccion=consejo_estado&amp;id=2013-172" TargetMode="External"/><Relationship Id="rId5" Type="http://schemas.openxmlformats.org/officeDocument/2006/relationships/hyperlink" Target="http://www.elmundo.es/elmundo/2012/09/29/espana/1348917473.html#comentarios" TargetMode="External"/><Relationship Id="rId15" Type="http://schemas.openxmlformats.org/officeDocument/2006/relationships/hyperlink" Target="http://www.society-youth.eu/" TargetMode="External"/><Relationship Id="rId10" Type="http://schemas.openxmlformats.org/officeDocument/2006/relationships/hyperlink" Target="http://soypublica.wordpress.com/2012/10/08/lo-que-esconde-la-lomce-analisis-del-anteproyecto-de-ley-de-educacion/" TargetMode="External"/><Relationship Id="rId4" Type="http://schemas.openxmlformats.org/officeDocument/2006/relationships/hyperlink" Target="http://www.20minutos.es/noticia/1539986/0/universidad/subida-tasas/congelacion/" TargetMode="External"/><Relationship Id="rId9" Type="http://schemas.openxmlformats.org/officeDocument/2006/relationships/hyperlink" Target="http://www.boe.es/boe/dias/2006/05/04/pdfs/A17158-17207.pdf" TargetMode="External"/><Relationship Id="rId14" Type="http://schemas.openxmlformats.org/officeDocument/2006/relationships/hyperlink" Target="http://www.20minutos.es/noticia/1315142/0/claves-protestas/estudiantes-policia/vale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7536A-96EC-44E9-9BE2-C8F6BA97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6361</Words>
  <Characters>34988</Characters>
  <Application>Microsoft Office Word</Application>
  <DocSecurity>0</DocSecurity>
  <Lines>291</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the Free State</Company>
  <LinksUpToDate>false</LinksUpToDate>
  <CharactersWithSpaces>41267</CharactersWithSpaces>
  <SharedDoc>false</SharedDoc>
  <HLinks>
    <vt:vector size="108" baseType="variant">
      <vt:variant>
        <vt:i4>7798798</vt:i4>
      </vt:variant>
      <vt:variant>
        <vt:i4>9</vt:i4>
      </vt:variant>
      <vt:variant>
        <vt:i4>0</vt:i4>
      </vt:variant>
      <vt:variant>
        <vt:i4>5</vt:i4>
      </vt:variant>
      <vt:variant>
        <vt:lpwstr>http://www.routledge.com/books/search/author/tatiana_zimenkova/</vt:lpwstr>
      </vt:variant>
      <vt:variant>
        <vt:lpwstr/>
      </vt:variant>
      <vt:variant>
        <vt:i4>3407937</vt:i4>
      </vt:variant>
      <vt:variant>
        <vt:i4>6</vt:i4>
      </vt:variant>
      <vt:variant>
        <vt:i4>0</vt:i4>
      </vt:variant>
      <vt:variant>
        <vt:i4>5</vt:i4>
      </vt:variant>
      <vt:variant>
        <vt:lpwstr>http://www.routledge.com/books/search/author/reinhold_hedtke/</vt:lpwstr>
      </vt:variant>
      <vt:variant>
        <vt:lpwstr/>
      </vt:variant>
      <vt:variant>
        <vt:i4>1114144</vt:i4>
      </vt:variant>
      <vt:variant>
        <vt:i4>3</vt:i4>
      </vt:variant>
      <vt:variant>
        <vt:i4>0</vt:i4>
      </vt:variant>
      <vt:variant>
        <vt:i4>5</vt:i4>
      </vt:variant>
      <vt:variant>
        <vt:lpwstr>http://gdc.feteugt.es/cuteeditornet/imagenes/2013/P%C3%BAblica/PUBretribuciones_escuela3984.pdf</vt:lpwstr>
      </vt:variant>
      <vt:variant>
        <vt:lpwstr/>
      </vt:variant>
      <vt:variant>
        <vt:i4>589903</vt:i4>
      </vt:variant>
      <vt:variant>
        <vt:i4>42</vt:i4>
      </vt:variant>
      <vt:variant>
        <vt:i4>0</vt:i4>
      </vt:variant>
      <vt:variant>
        <vt:i4>5</vt:i4>
      </vt:variant>
      <vt:variant>
        <vt:lpwstr>http://www.society-youth.eu/</vt:lpwstr>
      </vt:variant>
      <vt:variant>
        <vt:lpwstr/>
      </vt:variant>
      <vt:variant>
        <vt:i4>917531</vt:i4>
      </vt:variant>
      <vt:variant>
        <vt:i4>39</vt:i4>
      </vt:variant>
      <vt:variant>
        <vt:i4>0</vt:i4>
      </vt:variant>
      <vt:variant>
        <vt:i4>5</vt:i4>
      </vt:variant>
      <vt:variant>
        <vt:lpwstr>http://www.20minutos.es/noticia/1315142/0/claves-protestas/estudiantes-policia/valencia/</vt:lpwstr>
      </vt:variant>
      <vt:variant>
        <vt:lpwstr/>
      </vt:variant>
      <vt:variant>
        <vt:i4>4587604</vt:i4>
      </vt:variant>
      <vt:variant>
        <vt:i4>36</vt:i4>
      </vt:variant>
      <vt:variant>
        <vt:i4>0</vt:i4>
      </vt:variant>
      <vt:variant>
        <vt:i4>5</vt:i4>
      </vt:variant>
      <vt:variant>
        <vt:lpwstr>http://www.publico.es/espana/423063/represion-policial-en-valencia-contra-las-manifestaciones-de-estudiantes</vt:lpwstr>
      </vt:variant>
      <vt:variant>
        <vt:lpwstr/>
      </vt:variant>
      <vt:variant>
        <vt:i4>589884</vt:i4>
      </vt:variant>
      <vt:variant>
        <vt:i4>33</vt:i4>
      </vt:variant>
      <vt:variant>
        <vt:i4>0</vt:i4>
      </vt:variant>
      <vt:variant>
        <vt:i4>5</vt:i4>
      </vt:variant>
      <vt:variant>
        <vt:lpwstr>http://epp.eurostat.ec.europa.eu/cache/ITY_OFFPUB/KS-GL-13-002/EN/KS-GL-13-002-EN.PDF</vt:lpwstr>
      </vt:variant>
      <vt:variant>
        <vt:lpwstr/>
      </vt:variant>
      <vt:variant>
        <vt:i4>4653090</vt:i4>
      </vt:variant>
      <vt:variant>
        <vt:i4>30</vt:i4>
      </vt:variant>
      <vt:variant>
        <vt:i4>0</vt:i4>
      </vt:variant>
      <vt:variant>
        <vt:i4>5</vt:i4>
      </vt:variant>
      <vt:variant>
        <vt:lpwstr>http://www.boe.es/buscar/doc.php?coleccion=consejo_estado&amp;id=2013-172</vt:lpwstr>
      </vt:variant>
      <vt:variant>
        <vt:lpwstr/>
      </vt:variant>
      <vt:variant>
        <vt:i4>458762</vt:i4>
      </vt:variant>
      <vt:variant>
        <vt:i4>27</vt:i4>
      </vt:variant>
      <vt:variant>
        <vt:i4>0</vt:i4>
      </vt:variant>
      <vt:variant>
        <vt:i4>5</vt:i4>
      </vt:variant>
      <vt:variant>
        <vt:lpwstr>http://soypublica.wordpress.com/2012/10/08/lo-que-esconde-la-lomce-analisis-del-anteproyecto-de-ley-de-educacion/</vt:lpwstr>
      </vt:variant>
      <vt:variant>
        <vt:lpwstr/>
      </vt:variant>
      <vt:variant>
        <vt:i4>3080231</vt:i4>
      </vt:variant>
      <vt:variant>
        <vt:i4>24</vt:i4>
      </vt:variant>
      <vt:variant>
        <vt:i4>0</vt:i4>
      </vt:variant>
      <vt:variant>
        <vt:i4>5</vt:i4>
      </vt:variant>
      <vt:variant>
        <vt:lpwstr>http://www.boe.es/boe/dias/2006/05/04/pdfs/A17158-17207.pdf</vt:lpwstr>
      </vt:variant>
      <vt:variant>
        <vt:lpwstr/>
      </vt:variant>
      <vt:variant>
        <vt:i4>8061042</vt:i4>
      </vt:variant>
      <vt:variant>
        <vt:i4>21</vt:i4>
      </vt:variant>
      <vt:variant>
        <vt:i4>0</vt:i4>
      </vt:variant>
      <vt:variant>
        <vt:i4>5</vt:i4>
      </vt:variant>
      <vt:variant>
        <vt:lpwstr>http://www.boe.es/boe/dias/2010/05/24/pdfs/BOE-A-2010-8228.pdf</vt:lpwstr>
      </vt:variant>
      <vt:variant>
        <vt:lpwstr/>
      </vt:variant>
      <vt:variant>
        <vt:i4>393337</vt:i4>
      </vt:variant>
      <vt:variant>
        <vt:i4>18</vt:i4>
      </vt:variant>
      <vt:variant>
        <vt:i4>0</vt:i4>
      </vt:variant>
      <vt:variant>
        <vt:i4>5</vt:i4>
      </vt:variant>
      <vt:variant>
        <vt:lpwstr>http://www.crue.org/doc_portada/Junio_2013/2013.06.27_Comunicado_RD_Becas.pdf</vt:lpwstr>
      </vt:variant>
      <vt:variant>
        <vt:lpwstr/>
      </vt:variant>
      <vt:variant>
        <vt:i4>3539065</vt:i4>
      </vt:variant>
      <vt:variant>
        <vt:i4>15</vt:i4>
      </vt:variant>
      <vt:variant>
        <vt:i4>0</vt:i4>
      </vt:variant>
      <vt:variant>
        <vt:i4>5</vt:i4>
      </vt:variant>
      <vt:variant>
        <vt:lpwstr>http://www.dudasbecasmec.com/2013/07/el-presupuesto-destinado-becas-en.html</vt:lpwstr>
      </vt:variant>
      <vt:variant>
        <vt:lpwstr/>
      </vt:variant>
      <vt:variant>
        <vt:i4>1114124</vt:i4>
      </vt:variant>
      <vt:variant>
        <vt:i4>12</vt:i4>
      </vt:variant>
      <vt:variant>
        <vt:i4>0</vt:i4>
      </vt:variant>
      <vt:variant>
        <vt:i4>5</vt:i4>
      </vt:variant>
      <vt:variant>
        <vt:lpwstr>http://www.elmundo.es/elmundo/2012/09/29/espana/1348917473.html</vt:lpwstr>
      </vt:variant>
      <vt:variant>
        <vt:lpwstr>comentarios</vt:lpwstr>
      </vt:variant>
      <vt:variant>
        <vt:i4>6881406</vt:i4>
      </vt:variant>
      <vt:variant>
        <vt:i4>9</vt:i4>
      </vt:variant>
      <vt:variant>
        <vt:i4>0</vt:i4>
      </vt:variant>
      <vt:variant>
        <vt:i4>5</vt:i4>
      </vt:variant>
      <vt:variant>
        <vt:lpwstr>http://www.20minutos.es/noticia/1539986/0/universidad/subida-tasas/congelacion/</vt:lpwstr>
      </vt:variant>
      <vt:variant>
        <vt:lpwstr/>
      </vt:variant>
      <vt:variant>
        <vt:i4>5701645</vt:i4>
      </vt:variant>
      <vt:variant>
        <vt:i4>6</vt:i4>
      </vt:variant>
      <vt:variant>
        <vt:i4>0</vt:i4>
      </vt:variant>
      <vt:variant>
        <vt:i4>5</vt:i4>
      </vt:variant>
      <vt:variant>
        <vt:lpwstr>http://www.ine.es/daco/daco42/daco421/ipc0012.pdf</vt:lpwstr>
      </vt:variant>
      <vt:variant>
        <vt:lpwstr/>
      </vt:variant>
      <vt:variant>
        <vt:i4>6553621</vt:i4>
      </vt:variant>
      <vt:variant>
        <vt:i4>3</vt:i4>
      </vt:variant>
      <vt:variant>
        <vt:i4>0</vt:i4>
      </vt:variant>
      <vt:variant>
        <vt:i4>5</vt:i4>
      </vt:variant>
      <vt:variant>
        <vt:lpwstr>http://www.lamoncloa.gob.es/ConsejodeMinistros/Referencias/_2012/refc20120420.htm</vt:lpwstr>
      </vt:variant>
      <vt:variant>
        <vt:lpwstr>GastoPublico</vt:lpwstr>
      </vt:variant>
      <vt:variant>
        <vt:i4>5439492</vt:i4>
      </vt:variant>
      <vt:variant>
        <vt:i4>0</vt:i4>
      </vt:variant>
      <vt:variant>
        <vt:i4>0</vt:i4>
      </vt:variant>
      <vt:variant>
        <vt:i4>5</vt:i4>
      </vt:variant>
      <vt:variant>
        <vt:lpwstr>http://www.elmundo.es/elmundo/2012/graficos/mar/s5/presupuestos.html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UVP</dc:creator>
  <cp:keywords/>
  <cp:lastModifiedBy>Sandra</cp:lastModifiedBy>
  <cp:revision>2</cp:revision>
  <dcterms:created xsi:type="dcterms:W3CDTF">2015-07-16T15:52:00Z</dcterms:created>
  <dcterms:modified xsi:type="dcterms:W3CDTF">2015-07-16T15:52:00Z</dcterms:modified>
</cp:coreProperties>
</file>