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321BF" w14:textId="1F17BCB8" w:rsidR="00441B93" w:rsidRPr="007C0024" w:rsidRDefault="00AE09CA" w:rsidP="007C0024">
      <w:pPr>
        <w:pStyle w:val="Heading1"/>
        <w:jc w:val="center"/>
        <w:rPr>
          <w:b/>
          <w:sz w:val="24"/>
          <w:szCs w:val="24"/>
          <w:lang w:val="en-US"/>
        </w:rPr>
      </w:pPr>
      <w:r w:rsidRPr="007C0024">
        <w:rPr>
          <w:b/>
          <w:sz w:val="24"/>
          <w:szCs w:val="24"/>
          <w:lang w:val="en-US"/>
        </w:rPr>
        <w:t>Govern</w:t>
      </w:r>
      <w:r w:rsidR="005B5C7E" w:rsidRPr="007C0024">
        <w:rPr>
          <w:b/>
          <w:sz w:val="24"/>
          <w:szCs w:val="24"/>
          <w:lang w:val="en-US"/>
        </w:rPr>
        <w:t>ing</w:t>
      </w:r>
      <w:r w:rsidR="00D064F4" w:rsidRPr="007C0024">
        <w:rPr>
          <w:b/>
          <w:sz w:val="24"/>
          <w:szCs w:val="24"/>
          <w:lang w:val="en-US"/>
        </w:rPr>
        <w:t xml:space="preserve"> </w:t>
      </w:r>
      <w:r w:rsidR="000876DB" w:rsidRPr="007C0024">
        <w:rPr>
          <w:b/>
          <w:sz w:val="24"/>
          <w:szCs w:val="24"/>
          <w:lang w:val="en-US"/>
        </w:rPr>
        <w:t>S</w:t>
      </w:r>
      <w:r w:rsidR="00D064F4" w:rsidRPr="007C0024">
        <w:rPr>
          <w:b/>
          <w:sz w:val="24"/>
          <w:szCs w:val="24"/>
          <w:lang w:val="en-US"/>
        </w:rPr>
        <w:t xml:space="preserve">ystem </w:t>
      </w:r>
      <w:r w:rsidR="000876DB" w:rsidRPr="007C0024">
        <w:rPr>
          <w:b/>
          <w:sz w:val="24"/>
          <w:szCs w:val="24"/>
          <w:lang w:val="en-US"/>
        </w:rPr>
        <w:t>I</w:t>
      </w:r>
      <w:r w:rsidR="00D064F4" w:rsidRPr="007C0024">
        <w:rPr>
          <w:b/>
          <w:sz w:val="24"/>
          <w:szCs w:val="24"/>
          <w:lang w:val="en-US"/>
        </w:rPr>
        <w:t xml:space="preserve">nnovation: </w:t>
      </w:r>
      <w:r w:rsidR="004B090C" w:rsidRPr="007C0024">
        <w:rPr>
          <w:b/>
          <w:sz w:val="24"/>
          <w:szCs w:val="24"/>
          <w:lang w:val="en-US"/>
        </w:rPr>
        <w:t>A</w:t>
      </w:r>
      <w:r w:rsidR="00D064F4" w:rsidRPr="007C0024">
        <w:rPr>
          <w:b/>
          <w:sz w:val="24"/>
          <w:szCs w:val="24"/>
          <w:lang w:val="en-US"/>
        </w:rPr>
        <w:t xml:space="preserve">ssisted </w:t>
      </w:r>
      <w:r w:rsidR="0077332D" w:rsidRPr="007C0024">
        <w:rPr>
          <w:b/>
          <w:sz w:val="24"/>
          <w:szCs w:val="24"/>
          <w:lang w:val="en-US"/>
        </w:rPr>
        <w:t>L</w:t>
      </w:r>
      <w:r w:rsidR="00D064F4" w:rsidRPr="007C0024">
        <w:rPr>
          <w:b/>
          <w:sz w:val="24"/>
          <w:szCs w:val="24"/>
          <w:lang w:val="en-US"/>
        </w:rPr>
        <w:t xml:space="preserve">iving </w:t>
      </w:r>
      <w:r w:rsidR="0077332D" w:rsidRPr="007C0024">
        <w:rPr>
          <w:b/>
          <w:sz w:val="24"/>
          <w:szCs w:val="24"/>
          <w:lang w:val="en-US"/>
        </w:rPr>
        <w:t>E</w:t>
      </w:r>
      <w:r w:rsidR="00D064F4" w:rsidRPr="007C0024">
        <w:rPr>
          <w:b/>
          <w:sz w:val="24"/>
          <w:szCs w:val="24"/>
          <w:lang w:val="en-US"/>
        </w:rPr>
        <w:t xml:space="preserve">xperiments in </w:t>
      </w:r>
      <w:r w:rsidRPr="007C0024">
        <w:rPr>
          <w:b/>
          <w:sz w:val="24"/>
          <w:szCs w:val="24"/>
          <w:lang w:val="en-US"/>
        </w:rPr>
        <w:t xml:space="preserve">the </w:t>
      </w:r>
      <w:r w:rsidR="007C0024">
        <w:rPr>
          <w:b/>
          <w:sz w:val="24"/>
          <w:szCs w:val="24"/>
          <w:lang w:val="en-US"/>
        </w:rPr>
        <w:t>UK</w:t>
      </w:r>
      <w:r w:rsidRPr="007C0024">
        <w:rPr>
          <w:b/>
          <w:sz w:val="24"/>
          <w:szCs w:val="24"/>
          <w:lang w:val="en-US"/>
        </w:rPr>
        <w:t xml:space="preserve"> and Norway</w:t>
      </w:r>
    </w:p>
    <w:p w14:paraId="5E6C0478" w14:textId="790D718E" w:rsidR="007C0024" w:rsidRDefault="007C0024" w:rsidP="007C0024">
      <w:pPr>
        <w:rPr>
          <w:lang w:val="en-US"/>
        </w:rPr>
      </w:pPr>
    </w:p>
    <w:p w14:paraId="57A2935D" w14:textId="77777777" w:rsidR="007C0024" w:rsidRDefault="007C0024" w:rsidP="007C0024">
      <w:pPr>
        <w:rPr>
          <w:rFonts w:ascii="Times New Roman" w:hAnsi="Times New Roman" w:cs="Times New Roman"/>
          <w:sz w:val="24"/>
          <w:szCs w:val="24"/>
          <w:lang w:val="en-US"/>
        </w:rPr>
      </w:pPr>
    </w:p>
    <w:p w14:paraId="181D518C" w14:textId="6F1EC497" w:rsidR="007C0024" w:rsidRPr="007C0024" w:rsidRDefault="007C0024" w:rsidP="007C0024">
      <w:pPr>
        <w:rPr>
          <w:rFonts w:ascii="Times New Roman" w:hAnsi="Times New Roman" w:cs="Times New Roman"/>
          <w:sz w:val="24"/>
          <w:szCs w:val="24"/>
          <w:lang w:val="en-US"/>
        </w:rPr>
      </w:pPr>
      <w:r w:rsidRPr="007C0024">
        <w:rPr>
          <w:rFonts w:ascii="Times New Roman" w:hAnsi="Times New Roman" w:cs="Times New Roman"/>
          <w:b/>
          <w:sz w:val="24"/>
          <w:szCs w:val="24"/>
          <w:lang w:val="en-US"/>
        </w:rPr>
        <w:t>Markus Bugge</w:t>
      </w:r>
      <w:r w:rsidRPr="007C0024">
        <w:rPr>
          <w:rFonts w:ascii="Times New Roman" w:hAnsi="Times New Roman" w:cs="Times New Roman"/>
          <w:sz w:val="24"/>
          <w:szCs w:val="24"/>
          <w:lang w:val="en-US"/>
        </w:rPr>
        <w:t xml:space="preserve">: </w:t>
      </w:r>
      <w:r w:rsidRPr="007C0024">
        <w:rPr>
          <w:rFonts w:ascii="Times New Roman" w:hAnsi="Times New Roman" w:cs="Times New Roman"/>
          <w:sz w:val="24"/>
          <w:szCs w:val="24"/>
          <w:lang w:val="en-US"/>
        </w:rPr>
        <w:t>NIFU Nordic Institute for Studies in Innovation, Research and Education, Oslo, Norway</w:t>
      </w:r>
    </w:p>
    <w:p w14:paraId="37EA950A" w14:textId="2C199D44" w:rsidR="007C0024" w:rsidRPr="007C0024" w:rsidRDefault="007C0024" w:rsidP="007C0024">
      <w:pPr>
        <w:rPr>
          <w:rFonts w:ascii="Times New Roman" w:hAnsi="Times New Roman" w:cs="Times New Roman"/>
          <w:sz w:val="24"/>
          <w:szCs w:val="24"/>
          <w:lang w:val="en-US"/>
        </w:rPr>
      </w:pPr>
      <w:r w:rsidRPr="007C0024">
        <w:rPr>
          <w:rFonts w:ascii="Times New Roman" w:hAnsi="Times New Roman" w:cs="Times New Roman"/>
          <w:b/>
          <w:sz w:val="24"/>
          <w:szCs w:val="24"/>
          <w:lang w:val="en-US"/>
        </w:rPr>
        <w:t>Lars Coenen</w:t>
      </w:r>
      <w:r>
        <w:rPr>
          <w:rFonts w:ascii="Times New Roman" w:hAnsi="Times New Roman" w:cs="Times New Roman"/>
          <w:sz w:val="24"/>
          <w:szCs w:val="24"/>
          <w:lang w:val="en-US"/>
        </w:rPr>
        <w:t>:</w:t>
      </w:r>
      <w:r w:rsidRPr="007C0024">
        <w:rPr>
          <w:rFonts w:ascii="Times New Roman" w:hAnsi="Times New Roman" w:cs="Times New Roman"/>
          <w:sz w:val="24"/>
          <w:szCs w:val="24"/>
          <w:lang w:val="en-US"/>
        </w:rPr>
        <w:t xml:space="preserve"> </w:t>
      </w:r>
      <w:r w:rsidRPr="007C0024">
        <w:rPr>
          <w:rFonts w:ascii="Times New Roman" w:hAnsi="Times New Roman" w:cs="Times New Roman"/>
          <w:sz w:val="24"/>
          <w:szCs w:val="24"/>
          <w:lang w:val="en-US"/>
        </w:rPr>
        <w:t>Melbourne</w:t>
      </w:r>
      <w:r>
        <w:rPr>
          <w:rFonts w:ascii="Times New Roman" w:hAnsi="Times New Roman" w:cs="Times New Roman"/>
          <w:sz w:val="24"/>
          <w:szCs w:val="24"/>
          <w:lang w:val="en-US"/>
        </w:rPr>
        <w:t xml:space="preserve"> </w:t>
      </w:r>
      <w:r w:rsidRPr="007C0024">
        <w:rPr>
          <w:rFonts w:ascii="Times New Roman" w:hAnsi="Times New Roman" w:cs="Times New Roman"/>
          <w:sz w:val="24"/>
          <w:szCs w:val="24"/>
          <w:lang w:val="en-US"/>
        </w:rPr>
        <w:t>Sustainable Society Institute, The University of Melbourne, Parkville, Victoria, Australia</w:t>
      </w:r>
      <w:r w:rsidRPr="007C0024">
        <w:rPr>
          <w:rFonts w:ascii="Times New Roman" w:hAnsi="Times New Roman" w:cs="Times New Roman"/>
          <w:sz w:val="24"/>
          <w:szCs w:val="24"/>
          <w:lang w:val="en-US"/>
        </w:rPr>
        <w:t>; CIRCLE, Centre for Innovation, Research and Competence in the Learning Economy, Lund University, Lund, Sweden</w:t>
      </w:r>
    </w:p>
    <w:p w14:paraId="214D696F" w14:textId="226A285B" w:rsidR="007C0024" w:rsidRPr="007C0024" w:rsidRDefault="007C0024" w:rsidP="007C0024">
      <w:pPr>
        <w:rPr>
          <w:rFonts w:ascii="Times New Roman" w:hAnsi="Times New Roman" w:cs="Times New Roman"/>
          <w:sz w:val="24"/>
          <w:szCs w:val="24"/>
          <w:lang w:val="pt-PT"/>
        </w:rPr>
      </w:pPr>
      <w:r w:rsidRPr="007C0024">
        <w:rPr>
          <w:rFonts w:ascii="Times New Roman" w:hAnsi="Times New Roman" w:cs="Times New Roman"/>
          <w:b/>
          <w:sz w:val="24"/>
          <w:szCs w:val="24"/>
          <w:lang w:val="pt-PT"/>
        </w:rPr>
        <w:t>Pedro Marques</w:t>
      </w:r>
      <w:r w:rsidRPr="007C0024">
        <w:rPr>
          <w:rFonts w:ascii="Times New Roman" w:hAnsi="Times New Roman" w:cs="Times New Roman"/>
          <w:sz w:val="24"/>
          <w:szCs w:val="24"/>
          <w:lang w:val="pt-PT"/>
        </w:rPr>
        <w:t xml:space="preserve">: </w:t>
      </w:r>
      <w:r w:rsidRPr="007C0024">
        <w:rPr>
          <w:rFonts w:ascii="Times New Roman" w:hAnsi="Times New Roman" w:cs="Times New Roman"/>
          <w:sz w:val="24"/>
          <w:szCs w:val="24"/>
          <w:lang w:val="pt-PT"/>
        </w:rPr>
        <w:t>INGENIO (CSIC-UPV),</w:t>
      </w:r>
      <w:r>
        <w:rPr>
          <w:rFonts w:ascii="Times New Roman" w:hAnsi="Times New Roman" w:cs="Times New Roman"/>
          <w:sz w:val="24"/>
          <w:szCs w:val="24"/>
          <w:lang w:val="pt-PT"/>
        </w:rPr>
        <w:t xml:space="preserve"> </w:t>
      </w:r>
      <w:r w:rsidRPr="007C0024">
        <w:rPr>
          <w:rFonts w:ascii="Times New Roman" w:hAnsi="Times New Roman" w:cs="Times New Roman"/>
          <w:sz w:val="24"/>
          <w:szCs w:val="24"/>
          <w:lang w:val="pt-PT"/>
        </w:rPr>
        <w:t>Universitat Politècnica de València, Valencia, Spain</w:t>
      </w:r>
    </w:p>
    <w:p w14:paraId="0EA83ABC" w14:textId="188222FC" w:rsidR="007C0024" w:rsidRPr="007C0024" w:rsidRDefault="007C0024" w:rsidP="007C0024">
      <w:pPr>
        <w:rPr>
          <w:rFonts w:ascii="Times New Roman" w:hAnsi="Times New Roman" w:cs="Times New Roman"/>
          <w:sz w:val="24"/>
          <w:szCs w:val="24"/>
          <w:lang w:val="en-US"/>
        </w:rPr>
      </w:pPr>
      <w:r w:rsidRPr="007C0024">
        <w:rPr>
          <w:rFonts w:ascii="Times New Roman" w:hAnsi="Times New Roman" w:cs="Times New Roman"/>
          <w:b/>
          <w:sz w:val="24"/>
          <w:szCs w:val="24"/>
          <w:lang w:val="en-US"/>
        </w:rPr>
        <w:t>Kevin Morgan</w:t>
      </w:r>
      <w:r>
        <w:rPr>
          <w:rFonts w:ascii="Times New Roman" w:hAnsi="Times New Roman" w:cs="Times New Roman"/>
          <w:sz w:val="24"/>
          <w:szCs w:val="24"/>
          <w:lang w:val="en-US"/>
        </w:rPr>
        <w:t xml:space="preserve">: </w:t>
      </w:r>
      <w:r w:rsidRPr="007C0024">
        <w:rPr>
          <w:rFonts w:ascii="Times New Roman" w:hAnsi="Times New Roman" w:cs="Times New Roman"/>
          <w:sz w:val="24"/>
          <w:szCs w:val="24"/>
          <w:lang w:val="en-US"/>
        </w:rPr>
        <w:t>School of Geography and Planning, Cardiff University,</w:t>
      </w:r>
      <w:r>
        <w:rPr>
          <w:rFonts w:ascii="Times New Roman" w:hAnsi="Times New Roman" w:cs="Times New Roman"/>
          <w:sz w:val="24"/>
          <w:szCs w:val="24"/>
          <w:lang w:val="en-US"/>
        </w:rPr>
        <w:t xml:space="preserve"> </w:t>
      </w:r>
      <w:r w:rsidRPr="007C0024">
        <w:rPr>
          <w:rFonts w:ascii="Times New Roman" w:hAnsi="Times New Roman" w:cs="Times New Roman"/>
          <w:sz w:val="24"/>
          <w:szCs w:val="24"/>
          <w:lang w:val="en-US"/>
        </w:rPr>
        <w:t>Cardiff, UK</w:t>
      </w:r>
    </w:p>
    <w:p w14:paraId="5F988404" w14:textId="77777777" w:rsidR="007C0024" w:rsidRPr="007C0024" w:rsidRDefault="007C0024" w:rsidP="007C0024">
      <w:pPr>
        <w:rPr>
          <w:rFonts w:ascii="Times New Roman" w:hAnsi="Times New Roman" w:cs="Times New Roman"/>
          <w:sz w:val="24"/>
          <w:szCs w:val="24"/>
          <w:lang w:val="en-US"/>
        </w:rPr>
      </w:pPr>
    </w:p>
    <w:p w14:paraId="5384C988" w14:textId="5EEAFA1A" w:rsidR="007C0024" w:rsidRPr="007C0024" w:rsidRDefault="007C0024" w:rsidP="007C0024">
      <w:pPr>
        <w:rPr>
          <w:rFonts w:ascii="Times New Roman" w:hAnsi="Times New Roman" w:cs="Times New Roman"/>
          <w:sz w:val="24"/>
          <w:szCs w:val="24"/>
          <w:lang w:val="en-US"/>
        </w:rPr>
      </w:pPr>
      <w:bookmarkStart w:id="0" w:name="_GoBack"/>
      <w:bookmarkEnd w:id="0"/>
      <w:r w:rsidRPr="007C0024">
        <w:rPr>
          <w:rFonts w:ascii="Times New Roman" w:hAnsi="Times New Roman" w:cs="Times New Roman"/>
          <w:sz w:val="24"/>
          <w:szCs w:val="24"/>
          <w:lang w:val="en-US"/>
        </w:rPr>
        <w:t xml:space="preserve">Version accepted for publication at </w:t>
      </w:r>
      <w:r w:rsidRPr="007C0024">
        <w:rPr>
          <w:rFonts w:ascii="Times New Roman" w:hAnsi="Times New Roman" w:cs="Times New Roman"/>
          <w:i/>
          <w:sz w:val="24"/>
          <w:szCs w:val="24"/>
          <w:lang w:val="en-US"/>
        </w:rPr>
        <w:t>European Planning Studies</w:t>
      </w:r>
      <w:r w:rsidRPr="007C0024">
        <w:rPr>
          <w:rFonts w:ascii="Times New Roman" w:hAnsi="Times New Roman" w:cs="Times New Roman"/>
          <w:sz w:val="24"/>
          <w:szCs w:val="24"/>
          <w:lang w:val="en-US"/>
        </w:rPr>
        <w:t>: http://www.tandfonline.com/doi/full/10.1080/09654313.2017.1349078</w:t>
      </w:r>
    </w:p>
    <w:p w14:paraId="10EDBC6E" w14:textId="77777777" w:rsidR="00441B93" w:rsidRDefault="00441B93" w:rsidP="006D501E">
      <w:pPr>
        <w:spacing w:after="120" w:line="360" w:lineRule="auto"/>
        <w:rPr>
          <w:rFonts w:ascii="Times New Roman" w:hAnsi="Times New Roman" w:cs="Times New Roman"/>
          <w:sz w:val="24"/>
          <w:szCs w:val="24"/>
          <w:lang w:val="en-US"/>
        </w:rPr>
      </w:pPr>
    </w:p>
    <w:p w14:paraId="0D7AEBAD" w14:textId="77777777" w:rsidR="00FE6EC2" w:rsidRPr="00FE6EC2" w:rsidRDefault="00FE6EC2" w:rsidP="00FE6EC2">
      <w:pPr>
        <w:spacing w:after="120" w:line="360" w:lineRule="auto"/>
        <w:rPr>
          <w:rFonts w:ascii="Times New Roman" w:hAnsi="Times New Roman" w:cs="Times New Roman"/>
          <w:b/>
          <w:sz w:val="24"/>
          <w:szCs w:val="24"/>
          <w:lang w:val="en-US"/>
        </w:rPr>
      </w:pPr>
      <w:r w:rsidRPr="00FE6EC2">
        <w:rPr>
          <w:rFonts w:ascii="Times New Roman" w:hAnsi="Times New Roman" w:cs="Times New Roman"/>
          <w:b/>
          <w:sz w:val="24"/>
          <w:szCs w:val="24"/>
          <w:lang w:val="en-US"/>
        </w:rPr>
        <w:t>ABSTRACT</w:t>
      </w:r>
    </w:p>
    <w:p w14:paraId="701131C7" w14:textId="4CE01064" w:rsidR="00FE6EC2" w:rsidRPr="00FE6EC2" w:rsidRDefault="00FE6EC2" w:rsidP="00FE6EC2">
      <w:pPr>
        <w:spacing w:after="120" w:line="360" w:lineRule="auto"/>
        <w:rPr>
          <w:rFonts w:ascii="Times New Roman" w:hAnsi="Times New Roman" w:cs="Times New Roman"/>
          <w:sz w:val="24"/>
          <w:szCs w:val="24"/>
          <w:lang w:val="en-US"/>
        </w:rPr>
      </w:pPr>
      <w:r w:rsidRPr="00FE6EC2">
        <w:rPr>
          <w:rFonts w:ascii="Times New Roman" w:hAnsi="Times New Roman" w:cs="Times New Roman"/>
          <w:sz w:val="24"/>
          <w:szCs w:val="24"/>
          <w:lang w:val="en-US"/>
        </w:rPr>
        <w:t>Debates on how to address societal challenges have moved to the</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forefront of academic and policy concerns. Of particular importance</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is the growing awareness that to deal with issues such as ageing, it</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will be necessary to implement concerted efforts on technological,</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social, institutional or political fronts. Drawing on a number of</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theoretical perspectives – including socio-technical transitions and</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embedded state theory – the aim of this paper is to identify and</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understand different approaches to the governance of such</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system innovations by comparing state responses to assisted</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living in two contrasting national systems of care, namely that of</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the UK and Norway. Its findings highlight that state-supported</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and funded experimentation projects have been instrumental in</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designing and implementing system innovation: through their</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emphasis on co-design and co-creation, these projects</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 xml:space="preserve">demonstrated the value of early </w:t>
      </w:r>
      <w:r w:rsidRPr="00FE6EC2">
        <w:rPr>
          <w:rFonts w:ascii="Times New Roman" w:hAnsi="Times New Roman" w:cs="Times New Roman"/>
          <w:sz w:val="24"/>
          <w:szCs w:val="24"/>
          <w:lang w:val="en-US"/>
        </w:rPr>
        <w:t>i</w:t>
      </w:r>
      <w:r w:rsidRPr="00FE6EC2">
        <w:rPr>
          <w:rFonts w:ascii="Times New Roman" w:hAnsi="Times New Roman" w:cs="Times New Roman"/>
          <w:sz w:val="24"/>
          <w:szCs w:val="24"/>
          <w:lang w:val="en-US"/>
        </w:rPr>
        <w:t>mplementation pilots to explore</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the ‘fit’ between novel technologies and prevailing practices and</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institutional structures in national systems of care. Still,</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competition, biases or conflicting interests should not be ignored</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between well-established agents and institutions and</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experimental solutions whose efficacy remains relatively untested</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and which involve a combination of new technical, social,</w:t>
      </w:r>
      <w:r w:rsidRPr="00FE6EC2">
        <w:rPr>
          <w:rFonts w:ascii="Times New Roman" w:hAnsi="Times New Roman" w:cs="Times New Roman"/>
          <w:sz w:val="24"/>
          <w:szCs w:val="24"/>
          <w:lang w:val="en-US"/>
        </w:rPr>
        <w:t xml:space="preserve"> </w:t>
      </w:r>
      <w:r w:rsidRPr="00FE6EC2">
        <w:rPr>
          <w:rFonts w:ascii="Times New Roman" w:hAnsi="Times New Roman" w:cs="Times New Roman"/>
          <w:sz w:val="24"/>
          <w:szCs w:val="24"/>
          <w:lang w:val="en-US"/>
        </w:rPr>
        <w:t>organizational and institutional solutions.</w:t>
      </w:r>
    </w:p>
    <w:p w14:paraId="6626713F" w14:textId="77777777" w:rsidR="00FE6EC2" w:rsidRDefault="00FE6EC2" w:rsidP="006D501E">
      <w:pPr>
        <w:spacing w:after="120" w:line="360" w:lineRule="auto"/>
        <w:rPr>
          <w:rFonts w:ascii="Times New Roman" w:hAnsi="Times New Roman" w:cs="Times New Roman"/>
          <w:b/>
          <w:sz w:val="24"/>
          <w:szCs w:val="24"/>
          <w:lang w:val="en-US"/>
        </w:rPr>
      </w:pPr>
    </w:p>
    <w:p w14:paraId="0B628D46" w14:textId="6F3CBC7F" w:rsidR="00EF1D66" w:rsidRPr="0006608F" w:rsidRDefault="00591DD0" w:rsidP="004C17DC">
      <w:pPr>
        <w:pStyle w:val="Heading2"/>
        <w:rPr>
          <w:lang w:val="en-US"/>
        </w:rPr>
      </w:pPr>
      <w:r>
        <w:rPr>
          <w:lang w:val="en-US"/>
        </w:rPr>
        <w:lastRenderedPageBreak/>
        <w:t xml:space="preserve">1 </w:t>
      </w:r>
      <w:r w:rsidR="00EF1D66" w:rsidRPr="0006608F">
        <w:rPr>
          <w:lang w:val="en-US"/>
        </w:rPr>
        <w:t>Introduction</w:t>
      </w:r>
    </w:p>
    <w:p w14:paraId="5ED26A94" w14:textId="1011E1C0" w:rsidR="00CD3CB6" w:rsidRPr="006D501E" w:rsidRDefault="00CD3CB6" w:rsidP="006A4FD5">
      <w:pPr>
        <w:spacing w:after="120" w:line="480" w:lineRule="auto"/>
        <w:jc w:val="both"/>
        <w:rPr>
          <w:rFonts w:ascii="Times New Roman" w:hAnsi="Times New Roman" w:cs="Times New Roman"/>
          <w:sz w:val="24"/>
          <w:szCs w:val="24"/>
          <w:lang w:val="en-US"/>
        </w:rPr>
      </w:pPr>
      <w:r w:rsidRPr="006D501E">
        <w:rPr>
          <w:rFonts w:ascii="Times New Roman" w:hAnsi="Times New Roman" w:cs="Times New Roman"/>
          <w:sz w:val="24"/>
          <w:szCs w:val="24"/>
          <w:lang w:val="en-US"/>
        </w:rPr>
        <w:t>The field of innovation studies is in a state of flux as new and more capacious concept</w:t>
      </w:r>
      <w:r w:rsidR="0015394D">
        <w:rPr>
          <w:rFonts w:ascii="Times New Roman" w:hAnsi="Times New Roman" w:cs="Times New Roman"/>
          <w:sz w:val="24"/>
          <w:szCs w:val="24"/>
          <w:lang w:val="en-US"/>
        </w:rPr>
        <w:t>s</w:t>
      </w:r>
      <w:r w:rsidRPr="006D501E">
        <w:rPr>
          <w:rFonts w:ascii="Times New Roman" w:hAnsi="Times New Roman" w:cs="Times New Roman"/>
          <w:sz w:val="24"/>
          <w:szCs w:val="24"/>
          <w:lang w:val="en-US"/>
        </w:rPr>
        <w:t xml:space="preserve"> are beginning to appear, taking the field way beyond its original focus on science and technology</w:t>
      </w:r>
      <w:r w:rsidR="005E34C9">
        <w:rPr>
          <w:rFonts w:ascii="Times New Roman" w:hAnsi="Times New Roman" w:cs="Times New Roman"/>
          <w:sz w:val="24"/>
          <w:szCs w:val="24"/>
          <w:lang w:val="en-US"/>
        </w:rPr>
        <w:t xml:space="preserve"> </w:t>
      </w:r>
      <w:r w:rsidR="00DF3FBA">
        <w:rPr>
          <w:rFonts w:ascii="Times New Roman" w:hAnsi="Times New Roman" w:cs="Times New Roman"/>
          <w:sz w:val="24"/>
          <w:szCs w:val="24"/>
          <w:lang w:val="en-US"/>
        </w:rPr>
        <w:fldChar w:fldCharType="begin"/>
      </w:r>
      <w:r w:rsidR="00425FD1">
        <w:rPr>
          <w:rFonts w:ascii="Times New Roman" w:hAnsi="Times New Roman" w:cs="Times New Roman"/>
          <w:sz w:val="24"/>
          <w:szCs w:val="24"/>
          <w:lang w:val="en-US"/>
        </w:rPr>
        <w:instrText xml:space="preserve"> ADDIN EN.CITE &lt;EndNote&gt;&lt;Cite&gt;&lt;Author&gt;Martin&lt;/Author&gt;&lt;Year&gt;2015&lt;/Year&gt;&lt;RecNum&gt;2201&lt;/RecNum&gt;&lt;DisplayText&gt;(Martin 2015; Schot and Steinmueller 2016)&lt;/DisplayText&gt;&lt;record&gt;&lt;rec-number&gt;2201&lt;/rec-number&gt;&lt;foreign-keys&gt;&lt;key app="EN" db-id="0zaxpt5exdvxdhe20sqpstwvwdtsex0avvzr" timestamp="1448178951"&gt;2201&lt;/key&gt;&lt;/foreign-keys&gt;&lt;ref-type name="Unpublished Work"&gt;34&lt;/ref-type&gt;&lt;contributors&gt;&lt;authors&gt;&lt;author&gt;Ben R. Martin&lt;/author&gt;&lt;/authors&gt;&lt;/contributors&gt;&lt;titles&gt;&lt;title&gt;Twenty Challenges for Innovation Studies&lt;/title&gt;&lt;secondary-title&gt;SPRU Working Paper Series&lt;/secondary-title&gt;&lt;/titles&gt;&lt;pages&gt;1-39&lt;/pages&gt;&lt;number&gt;SWPS 2015-30 (November)&lt;/number&gt;&lt;dates&gt;&lt;year&gt;2015&lt;/year&gt;&lt;/dates&gt;&lt;publisher&gt;SPRU Science Policy Research Unit / University of Sussex&lt;/publisher&gt;&lt;urls&gt;&lt;/urls&gt;&lt;/record&gt;&lt;/Cite&gt;&lt;Cite&gt;&lt;Author&gt;Schot&lt;/Author&gt;&lt;Year&gt;2016&lt;/Year&gt;&lt;RecNum&gt;2431&lt;/RecNum&gt;&lt;record&gt;&lt;rec-number&gt;2431&lt;/rec-number&gt;&lt;foreign-keys&gt;&lt;key app="EN" db-id="0zaxpt5exdvxdhe20sqpstwvwdtsex0avvzr" timestamp="1473756257"&gt;2431&lt;/key&gt;&lt;/foreign-keys&gt;&lt;ref-type name="Report"&gt;27&lt;/ref-type&gt;&lt;contributors&gt;&lt;authors&gt;&lt;author&gt;Johan Schot&lt;/author&gt;&lt;author&gt;Edward Steinmueller&lt;/author&gt;&lt;/authors&gt;&lt;/contributors&gt;&lt;titles&gt;&lt;title&gt;Framing Innovation Policy for Transformative Change: Innovation Policy 3.0&lt;/title&gt;&lt;/titles&gt;&lt;dates&gt;&lt;year&gt;2016&lt;/year&gt;&lt;pub-dates&gt;&lt;date&gt;4 September 2016&lt;/date&gt;&lt;/pub-dates&gt;&lt;/dates&gt;&lt;publisher&gt;SPRU Science Policy Research Unit, University of Sussex&lt;/publisher&gt;&lt;urls&gt;&lt;/urls&gt;&lt;/record&gt;&lt;/Cite&gt;&lt;/EndNote&gt;</w:instrText>
      </w:r>
      <w:r w:rsidR="00DF3FBA">
        <w:rPr>
          <w:rFonts w:ascii="Times New Roman" w:hAnsi="Times New Roman" w:cs="Times New Roman"/>
          <w:sz w:val="24"/>
          <w:szCs w:val="24"/>
          <w:lang w:val="en-US"/>
        </w:rPr>
        <w:fldChar w:fldCharType="separate"/>
      </w:r>
      <w:r w:rsidR="00B24DE6">
        <w:rPr>
          <w:rFonts w:ascii="Times New Roman" w:hAnsi="Times New Roman" w:cs="Times New Roman"/>
          <w:noProof/>
          <w:sz w:val="24"/>
          <w:szCs w:val="24"/>
          <w:lang w:val="en-US"/>
        </w:rPr>
        <w:t>(Martin 2015)</w:t>
      </w:r>
      <w:r w:rsidR="00DF3FBA">
        <w:rPr>
          <w:rFonts w:ascii="Times New Roman" w:hAnsi="Times New Roman" w:cs="Times New Roman"/>
          <w:sz w:val="24"/>
          <w:szCs w:val="24"/>
          <w:lang w:val="en-US"/>
        </w:rPr>
        <w:fldChar w:fldCharType="end"/>
      </w:r>
      <w:r w:rsidRPr="006D501E">
        <w:rPr>
          <w:rFonts w:ascii="Times New Roman" w:hAnsi="Times New Roman" w:cs="Times New Roman"/>
          <w:sz w:val="24"/>
          <w:szCs w:val="24"/>
          <w:lang w:val="en-US"/>
        </w:rPr>
        <w:t xml:space="preserve">. In the past decade we have witnessed the growth of a voluminous literature addressed to ecological innovation, social innovation, grassroots innovation and responsible research and innovation, all of which are cause and consequence of a new interest in grand or societal challenges and mission-led research and innovation. Arguably the most </w:t>
      </w:r>
      <w:r w:rsidR="00CE35CC">
        <w:rPr>
          <w:rFonts w:ascii="Times New Roman" w:hAnsi="Times New Roman" w:cs="Times New Roman"/>
          <w:sz w:val="24"/>
          <w:szCs w:val="24"/>
          <w:lang w:val="en-US"/>
        </w:rPr>
        <w:t xml:space="preserve">aspirational and </w:t>
      </w:r>
      <w:r w:rsidRPr="006D501E">
        <w:rPr>
          <w:rFonts w:ascii="Times New Roman" w:hAnsi="Times New Roman" w:cs="Times New Roman"/>
          <w:sz w:val="24"/>
          <w:szCs w:val="24"/>
          <w:lang w:val="en-US"/>
        </w:rPr>
        <w:t xml:space="preserve">complex forms of innovation fall under the category of </w:t>
      </w:r>
      <w:r w:rsidRPr="001A58E4">
        <w:rPr>
          <w:rFonts w:ascii="Times New Roman" w:hAnsi="Times New Roman" w:cs="Times New Roman"/>
          <w:i/>
          <w:sz w:val="24"/>
          <w:szCs w:val="24"/>
          <w:lang w:val="en-US"/>
        </w:rPr>
        <w:t>system innovation</w:t>
      </w:r>
      <w:r w:rsidRPr="006D501E">
        <w:rPr>
          <w:rFonts w:ascii="Times New Roman" w:hAnsi="Times New Roman" w:cs="Times New Roman"/>
          <w:sz w:val="24"/>
          <w:szCs w:val="24"/>
          <w:lang w:val="en-US"/>
        </w:rPr>
        <w:t xml:space="preserve">, which is “a concept used to illustrate a horizontal policy approach that mobilises technology, market mechanisms, regulations and social innovations to solve complex societal problems in a set of interacting or interdependent components that form a whole socio-technical system” (OECD 2015:6).  </w:t>
      </w:r>
    </w:p>
    <w:p w14:paraId="494F99CA" w14:textId="64A79790" w:rsidR="00AF61EC" w:rsidRPr="006D501E" w:rsidRDefault="00CD3CB6" w:rsidP="006A4FD5">
      <w:pPr>
        <w:spacing w:after="120" w:line="480" w:lineRule="auto"/>
        <w:jc w:val="both"/>
        <w:rPr>
          <w:rFonts w:ascii="Times New Roman" w:hAnsi="Times New Roman" w:cs="Times New Roman"/>
          <w:sz w:val="24"/>
          <w:szCs w:val="24"/>
          <w:lang w:val="en-US"/>
        </w:rPr>
      </w:pPr>
      <w:r w:rsidRPr="006D501E">
        <w:rPr>
          <w:rFonts w:ascii="Times New Roman" w:hAnsi="Times New Roman" w:cs="Times New Roman"/>
          <w:sz w:val="24"/>
          <w:szCs w:val="24"/>
          <w:lang w:val="en-US"/>
        </w:rPr>
        <w:t>C</w:t>
      </w:r>
      <w:r w:rsidR="00EF1D66" w:rsidRPr="006D501E">
        <w:rPr>
          <w:rFonts w:ascii="Times New Roman" w:hAnsi="Times New Roman" w:cs="Times New Roman"/>
          <w:sz w:val="24"/>
          <w:szCs w:val="24"/>
          <w:lang w:val="en-US"/>
        </w:rPr>
        <w:t xml:space="preserve">onventional models of innovation based </w:t>
      </w:r>
      <w:r w:rsidR="00AF61EC" w:rsidRPr="006D501E">
        <w:rPr>
          <w:rFonts w:ascii="Times New Roman" w:hAnsi="Times New Roman" w:cs="Times New Roman"/>
          <w:sz w:val="24"/>
          <w:szCs w:val="24"/>
          <w:lang w:val="en-US"/>
        </w:rPr>
        <w:t>on a</w:t>
      </w:r>
      <w:r w:rsidR="00EF1D66" w:rsidRPr="006D501E">
        <w:rPr>
          <w:rFonts w:ascii="Times New Roman" w:hAnsi="Times New Roman" w:cs="Times New Roman"/>
          <w:sz w:val="24"/>
          <w:szCs w:val="24"/>
          <w:lang w:val="en-US"/>
        </w:rPr>
        <w:t xml:space="preserve"> Science, Technology, Inn</w:t>
      </w:r>
      <w:r w:rsidR="00782B3C">
        <w:rPr>
          <w:rFonts w:ascii="Times New Roman" w:hAnsi="Times New Roman" w:cs="Times New Roman"/>
          <w:sz w:val="24"/>
          <w:szCs w:val="24"/>
          <w:lang w:val="en-US"/>
        </w:rPr>
        <w:t>ovation paradigm (Jensen et al</w:t>
      </w:r>
      <w:r w:rsidR="00EF1D66" w:rsidRPr="006D501E">
        <w:rPr>
          <w:rFonts w:ascii="Times New Roman" w:hAnsi="Times New Roman" w:cs="Times New Roman"/>
          <w:sz w:val="24"/>
          <w:szCs w:val="24"/>
          <w:lang w:val="en-US"/>
        </w:rPr>
        <w:t xml:space="preserve"> 2007) are </w:t>
      </w:r>
      <w:r w:rsidRPr="006D501E">
        <w:rPr>
          <w:rFonts w:ascii="Times New Roman" w:hAnsi="Times New Roman" w:cs="Times New Roman"/>
          <w:sz w:val="24"/>
          <w:szCs w:val="24"/>
          <w:lang w:val="en-US"/>
        </w:rPr>
        <w:t xml:space="preserve">considered </w:t>
      </w:r>
      <w:r w:rsidR="00AF61EC" w:rsidRPr="006D501E">
        <w:rPr>
          <w:rFonts w:ascii="Times New Roman" w:hAnsi="Times New Roman" w:cs="Times New Roman"/>
          <w:sz w:val="24"/>
          <w:szCs w:val="24"/>
          <w:lang w:val="en-US"/>
        </w:rPr>
        <w:t>in</w:t>
      </w:r>
      <w:r w:rsidR="00EF1D66" w:rsidRPr="006D501E">
        <w:rPr>
          <w:rFonts w:ascii="Times New Roman" w:hAnsi="Times New Roman" w:cs="Times New Roman"/>
          <w:sz w:val="24"/>
          <w:szCs w:val="24"/>
          <w:lang w:val="en-US"/>
        </w:rPr>
        <w:t xml:space="preserve">sufficient </w:t>
      </w:r>
      <w:r w:rsidR="00AF61EC" w:rsidRPr="006D501E">
        <w:rPr>
          <w:rFonts w:ascii="Times New Roman" w:hAnsi="Times New Roman" w:cs="Times New Roman"/>
          <w:sz w:val="24"/>
          <w:szCs w:val="24"/>
          <w:lang w:val="en-US"/>
        </w:rPr>
        <w:t>to address the system innovations that the</w:t>
      </w:r>
      <w:r w:rsidR="00EF1D66" w:rsidRPr="006D501E">
        <w:rPr>
          <w:rFonts w:ascii="Times New Roman" w:hAnsi="Times New Roman" w:cs="Times New Roman"/>
          <w:sz w:val="24"/>
          <w:szCs w:val="24"/>
          <w:lang w:val="en-US"/>
        </w:rPr>
        <w:t xml:space="preserve"> </w:t>
      </w:r>
      <w:r w:rsidR="00AF61EC" w:rsidRPr="006D501E">
        <w:rPr>
          <w:rFonts w:ascii="Times New Roman" w:hAnsi="Times New Roman" w:cs="Times New Roman"/>
          <w:sz w:val="24"/>
          <w:szCs w:val="24"/>
          <w:lang w:val="en-US"/>
        </w:rPr>
        <w:t xml:space="preserve">new </w:t>
      </w:r>
      <w:r w:rsidR="00EF1D66" w:rsidRPr="006D501E">
        <w:rPr>
          <w:rFonts w:ascii="Times New Roman" w:hAnsi="Times New Roman" w:cs="Times New Roman"/>
          <w:sz w:val="24"/>
          <w:szCs w:val="24"/>
          <w:lang w:val="en-US"/>
        </w:rPr>
        <w:t xml:space="preserve">societal challenges and mission-led </w:t>
      </w:r>
      <w:r w:rsidR="00AF61EC" w:rsidRPr="006D501E">
        <w:rPr>
          <w:rFonts w:ascii="Times New Roman" w:hAnsi="Times New Roman" w:cs="Times New Roman"/>
          <w:sz w:val="24"/>
          <w:szCs w:val="24"/>
          <w:lang w:val="en-US"/>
        </w:rPr>
        <w:t>agenda seem to imply</w:t>
      </w:r>
      <w:r w:rsidR="00054FDA">
        <w:rPr>
          <w:rFonts w:ascii="Times New Roman" w:hAnsi="Times New Roman" w:cs="Times New Roman"/>
          <w:sz w:val="24"/>
          <w:szCs w:val="24"/>
          <w:lang w:val="en-US"/>
        </w:rPr>
        <w:t xml:space="preserve"> (Steward</w:t>
      </w:r>
      <w:r w:rsidR="00EF1D66" w:rsidRPr="006D501E">
        <w:rPr>
          <w:rFonts w:ascii="Times New Roman" w:hAnsi="Times New Roman" w:cs="Times New Roman"/>
          <w:sz w:val="24"/>
          <w:szCs w:val="24"/>
          <w:lang w:val="en-US"/>
        </w:rPr>
        <w:t xml:space="preserve"> 2012). </w:t>
      </w:r>
      <w:r w:rsidR="007C0024">
        <w:rPr>
          <w:rFonts w:ascii="Times New Roman" w:hAnsi="Times New Roman" w:cs="Times New Roman"/>
          <w:sz w:val="24"/>
          <w:szCs w:val="24"/>
          <w:lang w:val="en-US"/>
        </w:rPr>
        <w:t>First</w:t>
      </w:r>
      <w:r w:rsidR="00AF61EC" w:rsidRPr="006D501E">
        <w:rPr>
          <w:rFonts w:ascii="Times New Roman" w:hAnsi="Times New Roman" w:cs="Times New Roman"/>
          <w:sz w:val="24"/>
          <w:szCs w:val="24"/>
          <w:lang w:val="en-US"/>
        </w:rPr>
        <w:t>, the scale of the interdependencies between state, market and civil society is so much greater than hitherto</w:t>
      </w:r>
      <w:r w:rsidR="006507D5" w:rsidRPr="006D501E">
        <w:rPr>
          <w:rFonts w:ascii="Times New Roman" w:hAnsi="Times New Roman" w:cs="Times New Roman"/>
          <w:sz w:val="24"/>
          <w:szCs w:val="24"/>
          <w:lang w:val="en-US"/>
        </w:rPr>
        <w:t xml:space="preserve"> acknowledged</w:t>
      </w:r>
      <w:r w:rsidR="00AF61EC" w:rsidRPr="006D501E">
        <w:rPr>
          <w:rFonts w:ascii="Times New Roman" w:hAnsi="Times New Roman" w:cs="Times New Roman"/>
          <w:sz w:val="24"/>
          <w:szCs w:val="24"/>
          <w:lang w:val="en-US"/>
        </w:rPr>
        <w:t>, underlining the heightened importance of the “cooperative component of entrepreneurship</w:t>
      </w:r>
      <w:r w:rsidR="007C0024">
        <w:rPr>
          <w:rFonts w:ascii="Times New Roman" w:hAnsi="Times New Roman" w:cs="Times New Roman"/>
          <w:sz w:val="24"/>
          <w:szCs w:val="24"/>
          <w:lang w:val="en-US"/>
        </w:rPr>
        <w:t>” (Hirschman, 1958:19). Second</w:t>
      </w:r>
      <w:r w:rsidR="00AF61EC" w:rsidRPr="006D501E">
        <w:rPr>
          <w:rFonts w:ascii="Times New Roman" w:hAnsi="Times New Roman" w:cs="Times New Roman"/>
          <w:sz w:val="24"/>
          <w:szCs w:val="24"/>
          <w:lang w:val="en-US"/>
        </w:rPr>
        <w:t>, firms are merely one type of agent in the new landscape because the “democratization” of innovation signals the rise of a whole series of new agents of innovation, not least users, citizen</w:t>
      </w:r>
      <w:r w:rsidR="007D202C">
        <w:rPr>
          <w:rFonts w:ascii="Times New Roman" w:hAnsi="Times New Roman" w:cs="Times New Roman"/>
          <w:sz w:val="24"/>
          <w:szCs w:val="24"/>
          <w:lang w:val="en-US"/>
        </w:rPr>
        <w:t>s</w:t>
      </w:r>
      <w:r w:rsidR="00AF61EC" w:rsidRPr="006D501E">
        <w:rPr>
          <w:rFonts w:ascii="Times New Roman" w:hAnsi="Times New Roman" w:cs="Times New Roman"/>
          <w:sz w:val="24"/>
          <w:szCs w:val="24"/>
          <w:lang w:val="en-US"/>
        </w:rPr>
        <w:t>, municipalities and NGOs a</w:t>
      </w:r>
      <w:r w:rsidR="00211B6A">
        <w:rPr>
          <w:rFonts w:ascii="Times New Roman" w:hAnsi="Times New Roman" w:cs="Times New Roman"/>
          <w:sz w:val="24"/>
          <w:szCs w:val="24"/>
          <w:lang w:val="en-US"/>
        </w:rPr>
        <w:t>mong others (</w:t>
      </w:r>
      <w:r w:rsidR="00AF61EC" w:rsidRPr="006D501E">
        <w:rPr>
          <w:rFonts w:ascii="Times New Roman" w:hAnsi="Times New Roman" w:cs="Times New Roman"/>
          <w:sz w:val="24"/>
          <w:szCs w:val="24"/>
          <w:lang w:val="en-US"/>
        </w:rPr>
        <w:t>Seyfang and Smith 2007). Thirdly, the state looms larger in the new landscape because its multiple roles – as regulator, pr</w:t>
      </w:r>
      <w:r w:rsidR="00BF3964">
        <w:rPr>
          <w:rFonts w:ascii="Times New Roman" w:hAnsi="Times New Roman" w:cs="Times New Roman"/>
          <w:sz w:val="24"/>
          <w:szCs w:val="24"/>
          <w:lang w:val="en-US"/>
        </w:rPr>
        <w:t>oducer, purchaser, financier,</w:t>
      </w:r>
      <w:r w:rsidR="00AF61EC" w:rsidRPr="006D501E">
        <w:rPr>
          <w:rFonts w:ascii="Times New Roman" w:hAnsi="Times New Roman" w:cs="Times New Roman"/>
          <w:sz w:val="24"/>
          <w:szCs w:val="24"/>
          <w:lang w:val="en-US"/>
        </w:rPr>
        <w:t xml:space="preserve"> animateur and so forth – have an enormous impact across all the societal challenge areas</w:t>
      </w:r>
      <w:r w:rsidR="00BF3964">
        <w:rPr>
          <w:rFonts w:ascii="Times New Roman" w:hAnsi="Times New Roman" w:cs="Times New Roman"/>
          <w:sz w:val="24"/>
          <w:szCs w:val="24"/>
          <w:lang w:val="en-US"/>
        </w:rPr>
        <w:t>.</w:t>
      </w:r>
      <w:r w:rsidR="00AF61EC" w:rsidRPr="006D501E">
        <w:rPr>
          <w:rFonts w:ascii="Times New Roman" w:hAnsi="Times New Roman" w:cs="Times New Roman"/>
          <w:sz w:val="24"/>
          <w:szCs w:val="24"/>
          <w:lang w:val="en-US"/>
        </w:rPr>
        <w:t xml:space="preserve"> </w:t>
      </w:r>
      <w:r w:rsidR="00BF3964">
        <w:rPr>
          <w:rFonts w:ascii="Times New Roman" w:hAnsi="Times New Roman" w:cs="Times New Roman"/>
          <w:sz w:val="24"/>
          <w:szCs w:val="24"/>
          <w:lang w:val="en-US"/>
        </w:rPr>
        <w:t>S</w:t>
      </w:r>
      <w:r w:rsidR="00AF61EC" w:rsidRPr="006D501E">
        <w:rPr>
          <w:rFonts w:ascii="Times New Roman" w:hAnsi="Times New Roman" w:cs="Times New Roman"/>
          <w:sz w:val="24"/>
          <w:szCs w:val="24"/>
          <w:lang w:val="en-US"/>
        </w:rPr>
        <w:t>o much so that it effectively fashions the socio-economic environment in which innovation occurs and this raises large questions about the competence, coherence and convening ca</w:t>
      </w:r>
      <w:r w:rsidR="00054FDA">
        <w:rPr>
          <w:rFonts w:ascii="Times New Roman" w:hAnsi="Times New Roman" w:cs="Times New Roman"/>
          <w:sz w:val="24"/>
          <w:szCs w:val="24"/>
          <w:lang w:val="en-US"/>
        </w:rPr>
        <w:t>pacity of public bodies (Morgan</w:t>
      </w:r>
      <w:r w:rsidR="00AF61EC" w:rsidRPr="006D501E">
        <w:rPr>
          <w:rFonts w:ascii="Times New Roman" w:hAnsi="Times New Roman" w:cs="Times New Roman"/>
          <w:sz w:val="24"/>
          <w:szCs w:val="24"/>
          <w:lang w:val="en-US"/>
        </w:rPr>
        <w:t xml:space="preserve"> 2016).       </w:t>
      </w:r>
    </w:p>
    <w:p w14:paraId="5AED5EF4" w14:textId="66E2BC6C" w:rsidR="00704BAE" w:rsidRPr="006D501E" w:rsidRDefault="00DC01D1" w:rsidP="006A4FD5">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AF61EC" w:rsidRPr="006D501E">
        <w:rPr>
          <w:rFonts w:ascii="Times New Roman" w:hAnsi="Times New Roman" w:cs="Times New Roman"/>
          <w:sz w:val="24"/>
          <w:szCs w:val="24"/>
          <w:lang w:val="en-US"/>
        </w:rPr>
        <w:t xml:space="preserve"> key drive</w:t>
      </w:r>
      <w:r>
        <w:rPr>
          <w:rFonts w:ascii="Times New Roman" w:hAnsi="Times New Roman" w:cs="Times New Roman"/>
          <w:sz w:val="24"/>
          <w:szCs w:val="24"/>
          <w:lang w:val="en-US"/>
        </w:rPr>
        <w:t>r</w:t>
      </w:r>
      <w:r w:rsidR="00AF61EC" w:rsidRPr="006D501E">
        <w:rPr>
          <w:rFonts w:ascii="Times New Roman" w:hAnsi="Times New Roman" w:cs="Times New Roman"/>
          <w:sz w:val="24"/>
          <w:szCs w:val="24"/>
          <w:lang w:val="en-US"/>
        </w:rPr>
        <w:t xml:space="preserve"> of this growing interest in system innovation is Horizon 2020, the research and innovation </w:t>
      </w:r>
      <w:r w:rsidR="00AF61EC" w:rsidRPr="00520BA0">
        <w:rPr>
          <w:rFonts w:ascii="Times New Roman" w:hAnsi="Times New Roman" w:cs="Times New Roman"/>
          <w:sz w:val="24"/>
          <w:szCs w:val="24"/>
        </w:rPr>
        <w:t>programme</w:t>
      </w:r>
      <w:r w:rsidR="00AF61EC" w:rsidRPr="006D501E">
        <w:rPr>
          <w:rFonts w:ascii="Times New Roman" w:hAnsi="Times New Roman" w:cs="Times New Roman"/>
          <w:sz w:val="24"/>
          <w:szCs w:val="24"/>
          <w:lang w:val="en-US"/>
        </w:rPr>
        <w:t xml:space="preserve"> of the EU</w:t>
      </w:r>
      <w:r w:rsidR="00D5442F">
        <w:rPr>
          <w:rFonts w:ascii="Times New Roman" w:hAnsi="Times New Roman" w:cs="Times New Roman"/>
          <w:sz w:val="24"/>
          <w:szCs w:val="24"/>
          <w:lang w:val="en-US"/>
        </w:rPr>
        <w:t>,</w:t>
      </w:r>
      <w:r w:rsidR="00AF61EC" w:rsidRPr="006D501E">
        <w:rPr>
          <w:rFonts w:ascii="Times New Roman" w:hAnsi="Times New Roman" w:cs="Times New Roman"/>
          <w:sz w:val="24"/>
          <w:szCs w:val="24"/>
          <w:lang w:val="en-US"/>
        </w:rPr>
        <w:t xml:space="preserve"> which plans to commit nearly 80 billion euro to three R&amp;I pillars, </w:t>
      </w:r>
      <w:r>
        <w:rPr>
          <w:rFonts w:ascii="Times New Roman" w:hAnsi="Times New Roman" w:cs="Times New Roman"/>
          <w:sz w:val="24"/>
          <w:szCs w:val="24"/>
          <w:lang w:val="en-US"/>
        </w:rPr>
        <w:t>including one</w:t>
      </w:r>
      <w:r w:rsidR="00AF61EC" w:rsidRPr="006D501E">
        <w:rPr>
          <w:rFonts w:ascii="Times New Roman" w:hAnsi="Times New Roman" w:cs="Times New Roman"/>
          <w:sz w:val="24"/>
          <w:szCs w:val="24"/>
          <w:lang w:val="en-US"/>
        </w:rPr>
        <w:t xml:space="preserve"> dedicated to Societal Challenges. The first of these Societal Challenges is framed as </w:t>
      </w:r>
      <w:r w:rsidR="00AF61EC" w:rsidRPr="00EB6697">
        <w:rPr>
          <w:rFonts w:ascii="Times New Roman" w:hAnsi="Times New Roman" w:cs="Times New Roman"/>
          <w:sz w:val="24"/>
          <w:szCs w:val="24"/>
          <w:lang w:val="en-US"/>
        </w:rPr>
        <w:t>Health, Demographic Change and Wellbeing</w:t>
      </w:r>
      <w:r w:rsidR="00AF61EC" w:rsidRPr="006D501E">
        <w:rPr>
          <w:rFonts w:ascii="Times New Roman" w:hAnsi="Times New Roman" w:cs="Times New Roman"/>
          <w:sz w:val="24"/>
          <w:szCs w:val="24"/>
          <w:lang w:val="en-US"/>
        </w:rPr>
        <w:t xml:space="preserve"> and among other </w:t>
      </w:r>
      <w:r w:rsidR="00D5442F" w:rsidRPr="006D501E">
        <w:rPr>
          <w:rFonts w:ascii="Times New Roman" w:hAnsi="Times New Roman" w:cs="Times New Roman"/>
          <w:sz w:val="24"/>
          <w:szCs w:val="24"/>
          <w:lang w:val="en-US"/>
        </w:rPr>
        <w:t>things,</w:t>
      </w:r>
      <w:r w:rsidR="00AF61EC" w:rsidRPr="006D501E">
        <w:rPr>
          <w:rFonts w:ascii="Times New Roman" w:hAnsi="Times New Roman" w:cs="Times New Roman"/>
          <w:sz w:val="24"/>
          <w:szCs w:val="24"/>
          <w:lang w:val="en-US"/>
        </w:rPr>
        <w:t xml:space="preserve"> it aims to support the Active and Healthy Ageing agenda, one of the key strands of which is Assisted Living. </w:t>
      </w:r>
      <w:r w:rsidR="00704BAE" w:rsidRPr="006D501E">
        <w:rPr>
          <w:rFonts w:ascii="Times New Roman" w:hAnsi="Times New Roman" w:cs="Times New Roman"/>
          <w:sz w:val="24"/>
          <w:szCs w:val="24"/>
          <w:lang w:val="en-US"/>
        </w:rPr>
        <w:t>This Societal Challenge corresponds to a number of systemic pressures that welfare states and respective forms of public service provision are facing</w:t>
      </w:r>
      <w:r w:rsidR="002C7037">
        <w:rPr>
          <w:rFonts w:ascii="Times New Roman" w:hAnsi="Times New Roman" w:cs="Times New Roman"/>
          <w:sz w:val="24"/>
          <w:szCs w:val="24"/>
          <w:lang w:val="en-US"/>
        </w:rPr>
        <w:t>. However, a</w:t>
      </w:r>
      <w:r w:rsidR="00704BAE" w:rsidRPr="006D501E">
        <w:rPr>
          <w:rFonts w:ascii="Times New Roman" w:hAnsi="Times New Roman" w:cs="Times New Roman"/>
          <w:sz w:val="24"/>
          <w:szCs w:val="24"/>
          <w:lang w:val="en-US"/>
        </w:rPr>
        <w:t>lthough the EC</w:t>
      </w:r>
      <w:r w:rsidR="002C7037">
        <w:rPr>
          <w:rFonts w:ascii="Times New Roman" w:hAnsi="Times New Roman" w:cs="Times New Roman"/>
          <w:sz w:val="24"/>
          <w:szCs w:val="24"/>
          <w:lang w:val="en-US"/>
        </w:rPr>
        <w:t xml:space="preserve"> </w:t>
      </w:r>
      <w:r w:rsidR="00704BAE" w:rsidRPr="006D501E">
        <w:rPr>
          <w:rFonts w:ascii="Times New Roman" w:hAnsi="Times New Roman" w:cs="Times New Roman"/>
          <w:sz w:val="24"/>
          <w:szCs w:val="24"/>
          <w:lang w:val="en-US"/>
        </w:rPr>
        <w:t xml:space="preserve">frames the Active and Healthy Ageing Agenda in broad European terms, the single most significant feature of welfare state services is the fact that they are profoundly </w:t>
      </w:r>
      <w:r w:rsidR="00704BAE" w:rsidRPr="001A58E4">
        <w:rPr>
          <w:rFonts w:ascii="Times New Roman" w:hAnsi="Times New Roman" w:cs="Times New Roman"/>
          <w:i/>
          <w:sz w:val="24"/>
          <w:szCs w:val="24"/>
          <w:lang w:val="en-US"/>
        </w:rPr>
        <w:t xml:space="preserve">national </w:t>
      </w:r>
      <w:r w:rsidR="00704BAE" w:rsidRPr="006D501E">
        <w:rPr>
          <w:rFonts w:ascii="Times New Roman" w:hAnsi="Times New Roman" w:cs="Times New Roman"/>
          <w:sz w:val="24"/>
          <w:szCs w:val="24"/>
          <w:lang w:val="en-US"/>
        </w:rPr>
        <w:t>in their institutional structure and political culture</w:t>
      </w:r>
      <w:r w:rsidR="00BF3964">
        <w:rPr>
          <w:rFonts w:ascii="Times New Roman" w:hAnsi="Times New Roman" w:cs="Times New Roman"/>
          <w:sz w:val="24"/>
          <w:szCs w:val="24"/>
          <w:lang w:val="en-US"/>
        </w:rPr>
        <w:t>.</w:t>
      </w:r>
      <w:r w:rsidR="00704BAE" w:rsidRPr="006D501E">
        <w:rPr>
          <w:rFonts w:ascii="Times New Roman" w:hAnsi="Times New Roman" w:cs="Times New Roman"/>
          <w:sz w:val="24"/>
          <w:szCs w:val="24"/>
          <w:lang w:val="en-US"/>
        </w:rPr>
        <w:t xml:space="preserve"> </w:t>
      </w:r>
      <w:r w:rsidR="007A30B8">
        <w:rPr>
          <w:rFonts w:ascii="Times New Roman" w:hAnsi="Times New Roman" w:cs="Times New Roman"/>
          <w:sz w:val="24"/>
          <w:szCs w:val="24"/>
          <w:lang w:val="en-US"/>
        </w:rPr>
        <w:t>This picture becomes further complicated as policy domains such as health, research and innovation are devolved to sub</w:t>
      </w:r>
      <w:r w:rsidR="00042239">
        <w:rPr>
          <w:rFonts w:ascii="Times New Roman" w:hAnsi="Times New Roman" w:cs="Times New Roman"/>
          <w:sz w:val="24"/>
          <w:szCs w:val="24"/>
          <w:lang w:val="en-US"/>
        </w:rPr>
        <w:t>-</w:t>
      </w:r>
      <w:r w:rsidR="007A30B8">
        <w:rPr>
          <w:rFonts w:ascii="Times New Roman" w:hAnsi="Times New Roman" w:cs="Times New Roman"/>
          <w:sz w:val="24"/>
          <w:szCs w:val="24"/>
          <w:lang w:val="en-US"/>
        </w:rPr>
        <w:t xml:space="preserve">national </w:t>
      </w:r>
      <w:r w:rsidR="002C7B98">
        <w:rPr>
          <w:rFonts w:ascii="Times New Roman" w:hAnsi="Times New Roman" w:cs="Times New Roman"/>
          <w:sz w:val="24"/>
          <w:szCs w:val="24"/>
          <w:lang w:val="en-US"/>
        </w:rPr>
        <w:t>levels</w:t>
      </w:r>
      <w:r w:rsidR="007A30B8">
        <w:rPr>
          <w:rFonts w:ascii="Times New Roman" w:hAnsi="Times New Roman" w:cs="Times New Roman"/>
          <w:sz w:val="24"/>
          <w:szCs w:val="24"/>
          <w:lang w:val="en-US"/>
        </w:rPr>
        <w:t xml:space="preserve"> such as regions and municipalities. </w:t>
      </w:r>
    </w:p>
    <w:p w14:paraId="1B36BAF2" w14:textId="3171ADE9" w:rsidR="00EF1D66" w:rsidRDefault="00CE35CC" w:rsidP="006A4FD5">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900006" w:rsidRPr="00900006">
        <w:rPr>
          <w:rFonts w:ascii="Times New Roman" w:hAnsi="Times New Roman" w:cs="Times New Roman"/>
          <w:sz w:val="24"/>
          <w:szCs w:val="24"/>
          <w:lang w:val="en-US"/>
        </w:rPr>
        <w:t xml:space="preserve">he aim of this paper is to identify and understand </w:t>
      </w:r>
      <w:r w:rsidR="00FF53FF">
        <w:rPr>
          <w:rFonts w:ascii="Times New Roman" w:hAnsi="Times New Roman" w:cs="Times New Roman"/>
          <w:sz w:val="24"/>
          <w:szCs w:val="24"/>
          <w:lang w:val="en-US"/>
        </w:rPr>
        <w:t>different</w:t>
      </w:r>
      <w:r w:rsidR="007C0024">
        <w:rPr>
          <w:rFonts w:ascii="Times New Roman" w:hAnsi="Times New Roman" w:cs="Times New Roman"/>
          <w:sz w:val="24"/>
          <w:szCs w:val="24"/>
          <w:lang w:val="en-US"/>
        </w:rPr>
        <w:t xml:space="preserve"> approaches to governing</w:t>
      </w:r>
      <w:r w:rsidR="0015394D">
        <w:rPr>
          <w:rFonts w:ascii="Times New Roman" w:hAnsi="Times New Roman" w:cs="Times New Roman"/>
          <w:sz w:val="24"/>
          <w:szCs w:val="24"/>
          <w:lang w:val="en-US"/>
        </w:rPr>
        <w:t xml:space="preserve"> </w:t>
      </w:r>
      <w:r w:rsidR="00900006" w:rsidRPr="00900006">
        <w:rPr>
          <w:rFonts w:ascii="Times New Roman" w:hAnsi="Times New Roman" w:cs="Times New Roman"/>
          <w:sz w:val="24"/>
          <w:szCs w:val="24"/>
          <w:lang w:val="en-US"/>
        </w:rPr>
        <w:t>system innovations</w:t>
      </w:r>
      <w:r w:rsidR="00D5442F">
        <w:rPr>
          <w:rFonts w:ascii="Times New Roman" w:hAnsi="Times New Roman" w:cs="Times New Roman"/>
          <w:sz w:val="24"/>
          <w:szCs w:val="24"/>
          <w:lang w:val="en-US"/>
        </w:rPr>
        <w:t>,</w:t>
      </w:r>
      <w:r w:rsidR="00900006" w:rsidRPr="00900006">
        <w:rPr>
          <w:rFonts w:ascii="Times New Roman" w:hAnsi="Times New Roman" w:cs="Times New Roman"/>
          <w:sz w:val="24"/>
          <w:szCs w:val="24"/>
          <w:lang w:val="en-US"/>
        </w:rPr>
        <w:t xml:space="preserve"> </w:t>
      </w:r>
      <w:r>
        <w:rPr>
          <w:rFonts w:ascii="Times New Roman" w:hAnsi="Times New Roman" w:cs="Times New Roman"/>
          <w:sz w:val="24"/>
          <w:szCs w:val="24"/>
          <w:lang w:val="en-US"/>
        </w:rPr>
        <w:t>drawing</w:t>
      </w:r>
      <w:r w:rsidRPr="00CE35CC">
        <w:rPr>
          <w:rFonts w:ascii="Times New Roman" w:hAnsi="Times New Roman" w:cs="Times New Roman"/>
          <w:sz w:val="24"/>
          <w:szCs w:val="24"/>
          <w:lang w:val="en-US"/>
        </w:rPr>
        <w:t xml:space="preserve"> on theorizing on strategic niche management</w:t>
      </w:r>
      <w:r w:rsidR="007C0024">
        <w:rPr>
          <w:rFonts w:ascii="Times New Roman" w:hAnsi="Times New Roman" w:cs="Times New Roman"/>
          <w:sz w:val="24"/>
          <w:szCs w:val="24"/>
          <w:lang w:val="en-US"/>
        </w:rPr>
        <w:t xml:space="preserve"> (SNM)</w:t>
      </w:r>
      <w:r w:rsidRPr="00CE35CC">
        <w:rPr>
          <w:rFonts w:ascii="Times New Roman" w:hAnsi="Times New Roman" w:cs="Times New Roman"/>
          <w:sz w:val="24"/>
          <w:szCs w:val="24"/>
          <w:lang w:val="en-US"/>
        </w:rPr>
        <w:t>, embedded state and transformational system failures</w:t>
      </w:r>
      <w:r w:rsidRPr="00900006">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900006" w:rsidRPr="00900006">
        <w:rPr>
          <w:rFonts w:ascii="Times New Roman" w:hAnsi="Times New Roman" w:cs="Times New Roman"/>
          <w:sz w:val="24"/>
          <w:szCs w:val="24"/>
          <w:lang w:val="en-US"/>
        </w:rPr>
        <w:t xml:space="preserve"> comparing state responses to assisted living in two national systems of care, namely that of the UK and Norway</w:t>
      </w:r>
      <w:r w:rsidR="00900006">
        <w:rPr>
          <w:rFonts w:ascii="Times New Roman" w:hAnsi="Times New Roman" w:cs="Times New Roman"/>
          <w:sz w:val="24"/>
          <w:szCs w:val="24"/>
          <w:lang w:val="en-US"/>
        </w:rPr>
        <w:t>.</w:t>
      </w:r>
      <w:r w:rsidR="002C7037">
        <w:rPr>
          <w:rFonts w:ascii="Times New Roman" w:hAnsi="Times New Roman" w:cs="Times New Roman"/>
          <w:sz w:val="24"/>
          <w:szCs w:val="24"/>
          <w:lang w:val="en-US"/>
        </w:rPr>
        <w:t xml:space="preserve"> </w:t>
      </w:r>
      <w:r w:rsidR="00650448">
        <w:rPr>
          <w:rFonts w:ascii="Times New Roman" w:hAnsi="Times New Roman" w:cs="Times New Roman"/>
          <w:sz w:val="24"/>
          <w:szCs w:val="24"/>
          <w:lang w:val="en-US"/>
        </w:rPr>
        <w:t xml:space="preserve">The research question guiding the paper can be summarized as follows: How do </w:t>
      </w:r>
      <w:r w:rsidR="00BA5C5D">
        <w:rPr>
          <w:rFonts w:ascii="Times New Roman" w:hAnsi="Times New Roman" w:cs="Times New Roman"/>
          <w:sz w:val="24"/>
          <w:szCs w:val="24"/>
          <w:lang w:val="en-US"/>
        </w:rPr>
        <w:t>state</w:t>
      </w:r>
      <w:r w:rsidR="002F0ADC">
        <w:rPr>
          <w:rFonts w:ascii="Times New Roman" w:hAnsi="Times New Roman" w:cs="Times New Roman"/>
          <w:sz w:val="24"/>
          <w:szCs w:val="24"/>
          <w:lang w:val="en-US"/>
        </w:rPr>
        <w:t xml:space="preserve"> responses to</w:t>
      </w:r>
      <w:r w:rsidR="00650448">
        <w:rPr>
          <w:rFonts w:ascii="Times New Roman" w:hAnsi="Times New Roman" w:cs="Times New Roman"/>
          <w:sz w:val="24"/>
          <w:szCs w:val="24"/>
          <w:lang w:val="en-US"/>
        </w:rPr>
        <w:t xml:space="preserve"> system innovation </w:t>
      </w:r>
      <w:r w:rsidR="002F0ADC">
        <w:rPr>
          <w:rFonts w:ascii="Times New Roman" w:hAnsi="Times New Roman" w:cs="Times New Roman"/>
          <w:sz w:val="24"/>
          <w:szCs w:val="24"/>
          <w:lang w:val="en-US"/>
        </w:rPr>
        <w:t xml:space="preserve">in health care </w:t>
      </w:r>
      <w:r w:rsidR="00650448">
        <w:rPr>
          <w:rFonts w:ascii="Times New Roman" w:hAnsi="Times New Roman" w:cs="Times New Roman"/>
          <w:sz w:val="24"/>
          <w:szCs w:val="24"/>
          <w:lang w:val="en-US"/>
        </w:rPr>
        <w:t>vary across national contexts?</w:t>
      </w:r>
      <w:r w:rsidR="00A5257A">
        <w:rPr>
          <w:rFonts w:ascii="Times New Roman" w:hAnsi="Times New Roman" w:cs="Times New Roman"/>
          <w:sz w:val="24"/>
          <w:szCs w:val="24"/>
          <w:lang w:val="en-US"/>
        </w:rPr>
        <w:t xml:space="preserve">  </w:t>
      </w:r>
      <w:r w:rsidR="005C6777" w:rsidRPr="006D501E">
        <w:rPr>
          <w:rFonts w:ascii="Times New Roman" w:hAnsi="Times New Roman" w:cs="Times New Roman"/>
          <w:sz w:val="24"/>
          <w:szCs w:val="24"/>
          <w:lang w:val="en-US"/>
        </w:rPr>
        <w:t xml:space="preserve">The remainder of </w:t>
      </w:r>
      <w:r w:rsidR="0030595B">
        <w:rPr>
          <w:rFonts w:ascii="Times New Roman" w:hAnsi="Times New Roman" w:cs="Times New Roman"/>
          <w:sz w:val="24"/>
          <w:szCs w:val="24"/>
          <w:lang w:val="en-US"/>
        </w:rPr>
        <w:t>th</w:t>
      </w:r>
      <w:r w:rsidR="007221C4">
        <w:rPr>
          <w:rFonts w:ascii="Times New Roman" w:hAnsi="Times New Roman" w:cs="Times New Roman"/>
          <w:sz w:val="24"/>
          <w:szCs w:val="24"/>
          <w:lang w:val="en-US"/>
        </w:rPr>
        <w:t>e</w:t>
      </w:r>
      <w:r w:rsidR="0030595B">
        <w:rPr>
          <w:rFonts w:ascii="Times New Roman" w:hAnsi="Times New Roman" w:cs="Times New Roman"/>
          <w:sz w:val="24"/>
          <w:szCs w:val="24"/>
          <w:lang w:val="en-US"/>
        </w:rPr>
        <w:t xml:space="preserve"> paper proceeds as follows. </w:t>
      </w:r>
      <w:r w:rsidR="00274270">
        <w:rPr>
          <w:rFonts w:ascii="Times New Roman" w:hAnsi="Times New Roman" w:cs="Times New Roman"/>
          <w:sz w:val="24"/>
          <w:szCs w:val="24"/>
          <w:lang w:val="en-US"/>
        </w:rPr>
        <w:t>S</w:t>
      </w:r>
      <w:r w:rsidR="0030595B">
        <w:rPr>
          <w:rFonts w:ascii="Times New Roman" w:hAnsi="Times New Roman" w:cs="Times New Roman"/>
          <w:sz w:val="24"/>
          <w:szCs w:val="24"/>
          <w:lang w:val="en-US"/>
        </w:rPr>
        <w:t xml:space="preserve">ection </w:t>
      </w:r>
      <w:r w:rsidR="00274270">
        <w:rPr>
          <w:rFonts w:ascii="Times New Roman" w:hAnsi="Times New Roman" w:cs="Times New Roman"/>
          <w:sz w:val="24"/>
          <w:szCs w:val="24"/>
          <w:lang w:val="en-US"/>
        </w:rPr>
        <w:t xml:space="preserve">two </w:t>
      </w:r>
      <w:r w:rsidR="007221C4">
        <w:rPr>
          <w:rFonts w:ascii="Times New Roman" w:hAnsi="Times New Roman" w:cs="Times New Roman"/>
          <w:sz w:val="24"/>
          <w:szCs w:val="24"/>
          <w:lang w:val="en-US"/>
        </w:rPr>
        <w:t>outline</w:t>
      </w:r>
      <w:r w:rsidR="008B6ED8">
        <w:rPr>
          <w:rFonts w:ascii="Times New Roman" w:hAnsi="Times New Roman" w:cs="Times New Roman"/>
          <w:sz w:val="24"/>
          <w:szCs w:val="24"/>
          <w:lang w:val="en-US"/>
        </w:rPr>
        <w:t>s</w:t>
      </w:r>
      <w:r w:rsidR="007221C4">
        <w:rPr>
          <w:rFonts w:ascii="Times New Roman" w:hAnsi="Times New Roman" w:cs="Times New Roman"/>
          <w:sz w:val="24"/>
          <w:szCs w:val="24"/>
          <w:lang w:val="en-US"/>
        </w:rPr>
        <w:t xml:space="preserve"> the </w:t>
      </w:r>
      <w:r w:rsidR="001A58E4">
        <w:rPr>
          <w:rFonts w:ascii="Times New Roman" w:hAnsi="Times New Roman" w:cs="Times New Roman"/>
          <w:sz w:val="24"/>
          <w:szCs w:val="24"/>
          <w:lang w:val="en-US"/>
        </w:rPr>
        <w:t>theoretical framework.</w:t>
      </w:r>
      <w:r w:rsidR="0030595B">
        <w:rPr>
          <w:rFonts w:ascii="Times New Roman" w:hAnsi="Times New Roman" w:cs="Times New Roman"/>
          <w:sz w:val="24"/>
          <w:szCs w:val="24"/>
          <w:lang w:val="en-US"/>
        </w:rPr>
        <w:t xml:space="preserve"> </w:t>
      </w:r>
      <w:r w:rsidR="008B6ED8">
        <w:rPr>
          <w:rFonts w:ascii="Times New Roman" w:hAnsi="Times New Roman" w:cs="Times New Roman"/>
          <w:sz w:val="24"/>
          <w:szCs w:val="24"/>
          <w:lang w:val="en-US"/>
        </w:rPr>
        <w:t>S</w:t>
      </w:r>
      <w:r w:rsidR="00274270">
        <w:rPr>
          <w:rFonts w:ascii="Times New Roman" w:hAnsi="Times New Roman" w:cs="Times New Roman"/>
          <w:sz w:val="24"/>
          <w:szCs w:val="24"/>
          <w:lang w:val="en-US"/>
        </w:rPr>
        <w:t xml:space="preserve">ection three </w:t>
      </w:r>
      <w:r w:rsidR="0030595B">
        <w:rPr>
          <w:rFonts w:ascii="Times New Roman" w:hAnsi="Times New Roman" w:cs="Times New Roman"/>
          <w:sz w:val="24"/>
          <w:szCs w:val="24"/>
          <w:lang w:val="en-US"/>
        </w:rPr>
        <w:t>present</w:t>
      </w:r>
      <w:r w:rsidR="008B6ED8">
        <w:rPr>
          <w:rFonts w:ascii="Times New Roman" w:hAnsi="Times New Roman" w:cs="Times New Roman"/>
          <w:sz w:val="24"/>
          <w:szCs w:val="24"/>
          <w:lang w:val="en-US"/>
        </w:rPr>
        <w:t>s</w:t>
      </w:r>
      <w:r w:rsidR="0015394D">
        <w:rPr>
          <w:rFonts w:ascii="Times New Roman" w:hAnsi="Times New Roman" w:cs="Times New Roman"/>
          <w:sz w:val="24"/>
          <w:szCs w:val="24"/>
          <w:lang w:val="en-US"/>
        </w:rPr>
        <w:t xml:space="preserve"> the methodology, </w:t>
      </w:r>
      <w:r w:rsidR="00473EF6">
        <w:rPr>
          <w:rFonts w:ascii="Times New Roman" w:hAnsi="Times New Roman" w:cs="Times New Roman"/>
          <w:sz w:val="24"/>
          <w:szCs w:val="24"/>
          <w:lang w:val="en-US"/>
        </w:rPr>
        <w:t xml:space="preserve">before section four provides </w:t>
      </w:r>
      <w:r w:rsidR="0030595B">
        <w:rPr>
          <w:rFonts w:ascii="Times New Roman" w:hAnsi="Times New Roman" w:cs="Times New Roman"/>
          <w:sz w:val="24"/>
          <w:szCs w:val="24"/>
          <w:lang w:val="en-US"/>
        </w:rPr>
        <w:t>the national contexts of the UK and Norway in what concerns health policies for the elderly</w:t>
      </w:r>
      <w:r w:rsidR="00473EF6">
        <w:rPr>
          <w:rFonts w:ascii="Times New Roman" w:hAnsi="Times New Roman" w:cs="Times New Roman"/>
          <w:sz w:val="24"/>
          <w:szCs w:val="24"/>
          <w:lang w:val="en-US"/>
        </w:rPr>
        <w:t xml:space="preserve">. </w:t>
      </w:r>
      <w:r w:rsidR="008B6ED8">
        <w:rPr>
          <w:rFonts w:ascii="Times New Roman" w:hAnsi="Times New Roman" w:cs="Times New Roman"/>
          <w:sz w:val="24"/>
          <w:szCs w:val="24"/>
          <w:lang w:val="en-US"/>
        </w:rPr>
        <w:t xml:space="preserve">Section </w:t>
      </w:r>
      <w:r w:rsidR="00473EF6">
        <w:rPr>
          <w:rFonts w:ascii="Times New Roman" w:hAnsi="Times New Roman" w:cs="Times New Roman"/>
          <w:sz w:val="24"/>
          <w:szCs w:val="24"/>
          <w:lang w:val="en-US"/>
        </w:rPr>
        <w:t>five</w:t>
      </w:r>
      <w:r w:rsidR="0030595B">
        <w:rPr>
          <w:rFonts w:ascii="Times New Roman" w:hAnsi="Times New Roman" w:cs="Times New Roman"/>
          <w:sz w:val="24"/>
          <w:szCs w:val="24"/>
          <w:lang w:val="en-US"/>
        </w:rPr>
        <w:t xml:space="preserve"> </w:t>
      </w:r>
      <w:r w:rsidR="008B6ED8">
        <w:rPr>
          <w:rFonts w:ascii="Times New Roman" w:hAnsi="Times New Roman" w:cs="Times New Roman"/>
          <w:sz w:val="24"/>
          <w:szCs w:val="24"/>
          <w:lang w:val="en-US"/>
        </w:rPr>
        <w:t xml:space="preserve">discusses </w:t>
      </w:r>
      <w:r w:rsidR="0030595B">
        <w:rPr>
          <w:rFonts w:ascii="Times New Roman" w:hAnsi="Times New Roman" w:cs="Times New Roman"/>
          <w:sz w:val="24"/>
          <w:szCs w:val="24"/>
          <w:lang w:val="en-US"/>
        </w:rPr>
        <w:t>our two case studies</w:t>
      </w:r>
      <w:r w:rsidR="00473EF6">
        <w:rPr>
          <w:rFonts w:ascii="Times New Roman" w:hAnsi="Times New Roman" w:cs="Times New Roman"/>
          <w:sz w:val="24"/>
          <w:szCs w:val="24"/>
          <w:lang w:val="en-US"/>
        </w:rPr>
        <w:t xml:space="preserve"> in detail</w:t>
      </w:r>
      <w:r w:rsidR="008B6ED8">
        <w:rPr>
          <w:rFonts w:ascii="Times New Roman" w:hAnsi="Times New Roman" w:cs="Times New Roman"/>
          <w:sz w:val="24"/>
          <w:szCs w:val="24"/>
          <w:lang w:val="en-US"/>
        </w:rPr>
        <w:t>, and section six sums up the findings</w:t>
      </w:r>
      <w:r w:rsidR="0030595B">
        <w:rPr>
          <w:rFonts w:ascii="Times New Roman" w:hAnsi="Times New Roman" w:cs="Times New Roman"/>
          <w:sz w:val="24"/>
          <w:szCs w:val="24"/>
          <w:lang w:val="en-US"/>
        </w:rPr>
        <w:t xml:space="preserve">. </w:t>
      </w:r>
      <w:r w:rsidR="00473EF6">
        <w:rPr>
          <w:rFonts w:ascii="Times New Roman" w:hAnsi="Times New Roman" w:cs="Times New Roman"/>
          <w:sz w:val="24"/>
          <w:szCs w:val="24"/>
          <w:lang w:val="en-US"/>
        </w:rPr>
        <w:t xml:space="preserve">Finally, section </w:t>
      </w:r>
      <w:r w:rsidR="008B6ED8">
        <w:rPr>
          <w:rFonts w:ascii="Times New Roman" w:hAnsi="Times New Roman" w:cs="Times New Roman"/>
          <w:sz w:val="24"/>
          <w:szCs w:val="24"/>
          <w:lang w:val="en-US"/>
        </w:rPr>
        <w:t>seven</w:t>
      </w:r>
      <w:r w:rsidR="00473EF6">
        <w:rPr>
          <w:rFonts w:ascii="Times New Roman" w:hAnsi="Times New Roman" w:cs="Times New Roman"/>
          <w:sz w:val="24"/>
          <w:szCs w:val="24"/>
          <w:lang w:val="en-US"/>
        </w:rPr>
        <w:t xml:space="preserve"> concludes </w:t>
      </w:r>
      <w:r w:rsidR="0030595B">
        <w:rPr>
          <w:rFonts w:ascii="Times New Roman" w:hAnsi="Times New Roman" w:cs="Times New Roman"/>
          <w:sz w:val="24"/>
          <w:szCs w:val="24"/>
          <w:lang w:val="en-US"/>
        </w:rPr>
        <w:t xml:space="preserve">on what our empirical data means in conceptual terms. </w:t>
      </w:r>
    </w:p>
    <w:p w14:paraId="1DAEA14B" w14:textId="3225D9C4" w:rsidR="00EF1D66" w:rsidRPr="003416C7" w:rsidRDefault="00591DD0" w:rsidP="00E02E15">
      <w:pPr>
        <w:pStyle w:val="Heading2"/>
        <w:rPr>
          <w:lang w:val="en-US"/>
        </w:rPr>
      </w:pPr>
      <w:r>
        <w:rPr>
          <w:lang w:val="en-US"/>
        </w:rPr>
        <w:t xml:space="preserve">2 </w:t>
      </w:r>
      <w:r w:rsidR="00EF1D66" w:rsidRPr="0006608F">
        <w:rPr>
          <w:lang w:val="en-US"/>
        </w:rPr>
        <w:t>Conceptual framework</w:t>
      </w:r>
      <w:r w:rsidR="00211B6A" w:rsidRPr="0006608F">
        <w:rPr>
          <w:lang w:val="en-US"/>
        </w:rPr>
        <w:t xml:space="preserve">: </w:t>
      </w:r>
      <w:r w:rsidR="002C7037" w:rsidRPr="00C261E5">
        <w:rPr>
          <w:lang w:val="en-US"/>
        </w:rPr>
        <w:t>the role of the state in strategic niche management</w:t>
      </w:r>
      <w:r w:rsidR="00011324" w:rsidRPr="003416C7">
        <w:rPr>
          <w:lang w:val="en-US"/>
        </w:rPr>
        <w:t xml:space="preserve"> </w:t>
      </w:r>
    </w:p>
    <w:p w14:paraId="4F6E89BF" w14:textId="3EAF1C1E" w:rsidR="00AC1A93" w:rsidRDefault="009E2FD5">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concept of socio-technical transitions has gained ground as a lens through which major system transformations </w:t>
      </w:r>
      <w:r w:rsidR="0049786B">
        <w:rPr>
          <w:rFonts w:ascii="Times New Roman" w:hAnsi="Times New Roman" w:cs="Times New Roman"/>
          <w:sz w:val="24"/>
          <w:szCs w:val="24"/>
          <w:lang w:val="en-US"/>
        </w:rPr>
        <w:t xml:space="preserve">and innovations </w:t>
      </w:r>
      <w:r w:rsidR="007C0024">
        <w:rPr>
          <w:rFonts w:ascii="Times New Roman" w:hAnsi="Times New Roman" w:cs="Times New Roman"/>
          <w:sz w:val="24"/>
          <w:szCs w:val="24"/>
          <w:lang w:val="en-US"/>
        </w:rPr>
        <w:t>can be analys</w:t>
      </w:r>
      <w:r>
        <w:rPr>
          <w:rFonts w:ascii="Times New Roman" w:hAnsi="Times New Roman" w:cs="Times New Roman"/>
          <w:sz w:val="24"/>
          <w:szCs w:val="24"/>
          <w:lang w:val="en-US"/>
        </w:rPr>
        <w:t>ed (</w:t>
      </w:r>
      <w:r w:rsidR="009915FC">
        <w:rPr>
          <w:rFonts w:ascii="Times New Roman" w:hAnsi="Times New Roman" w:cs="Times New Roman"/>
          <w:sz w:val="24"/>
          <w:szCs w:val="24"/>
          <w:lang w:val="en-US"/>
        </w:rPr>
        <w:t>OECD 2015</w:t>
      </w:r>
      <w:r>
        <w:rPr>
          <w:rFonts w:ascii="Times New Roman" w:hAnsi="Times New Roman" w:cs="Times New Roman"/>
          <w:sz w:val="24"/>
          <w:szCs w:val="24"/>
          <w:lang w:val="en-US"/>
        </w:rPr>
        <w:t xml:space="preserve">). The strength of this </w:t>
      </w:r>
      <w:r>
        <w:rPr>
          <w:rFonts w:ascii="Times New Roman" w:hAnsi="Times New Roman" w:cs="Times New Roman"/>
          <w:sz w:val="24"/>
          <w:szCs w:val="24"/>
          <w:lang w:val="en-US"/>
        </w:rPr>
        <w:lastRenderedPageBreak/>
        <w:t>concept lies in its capacity to stress the interdependence of technological, social, cultural and political dimensions, and the way in which change in one of these dimensions implies adjustments in the others (</w:t>
      </w:r>
      <w:r w:rsidR="00F71CD3">
        <w:rPr>
          <w:rFonts w:ascii="Times New Roman" w:hAnsi="Times New Roman" w:cs="Times New Roman"/>
          <w:sz w:val="24"/>
          <w:szCs w:val="24"/>
          <w:lang w:val="en-US"/>
        </w:rPr>
        <w:t>Smith et al 2010</w:t>
      </w:r>
      <w:r>
        <w:rPr>
          <w:rFonts w:ascii="Times New Roman" w:hAnsi="Times New Roman" w:cs="Times New Roman"/>
          <w:sz w:val="24"/>
          <w:szCs w:val="24"/>
          <w:lang w:val="en-US"/>
        </w:rPr>
        <w:t xml:space="preserve">). </w:t>
      </w:r>
      <w:r w:rsidR="009915FC">
        <w:rPr>
          <w:rFonts w:ascii="Times New Roman" w:hAnsi="Times New Roman" w:cs="Times New Roman"/>
          <w:sz w:val="24"/>
          <w:szCs w:val="24"/>
          <w:lang w:val="en-US"/>
        </w:rPr>
        <w:t xml:space="preserve">In the context of this paper it will be deployed to </w:t>
      </w:r>
      <w:r w:rsidR="00D5442F">
        <w:rPr>
          <w:rFonts w:ascii="Times New Roman" w:hAnsi="Times New Roman" w:cs="Times New Roman"/>
          <w:sz w:val="24"/>
          <w:szCs w:val="24"/>
          <w:lang w:val="en-US"/>
        </w:rPr>
        <w:t>analy</w:t>
      </w:r>
      <w:r w:rsidR="007C0024">
        <w:rPr>
          <w:rFonts w:ascii="Times New Roman" w:hAnsi="Times New Roman" w:cs="Times New Roman"/>
          <w:sz w:val="24"/>
          <w:szCs w:val="24"/>
          <w:lang w:val="en-US"/>
        </w:rPr>
        <w:t>s</w:t>
      </w:r>
      <w:r w:rsidR="00D5442F">
        <w:rPr>
          <w:rFonts w:ascii="Times New Roman" w:hAnsi="Times New Roman" w:cs="Times New Roman"/>
          <w:sz w:val="24"/>
          <w:szCs w:val="24"/>
          <w:lang w:val="en-US"/>
        </w:rPr>
        <w:t>e</w:t>
      </w:r>
      <w:r w:rsidR="009915FC">
        <w:rPr>
          <w:rFonts w:ascii="Times New Roman" w:hAnsi="Times New Roman" w:cs="Times New Roman"/>
          <w:sz w:val="24"/>
          <w:szCs w:val="24"/>
          <w:lang w:val="en-US"/>
        </w:rPr>
        <w:t xml:space="preserve"> the societal challenge of ageing populations. This challenge involves multiple dimensions, including the sustainability of public finances, the creation of new technological and medical devices to deal with longer </w:t>
      </w:r>
      <w:r w:rsidR="00D5442F">
        <w:rPr>
          <w:rFonts w:ascii="Times New Roman" w:hAnsi="Times New Roman" w:cs="Times New Roman"/>
          <w:sz w:val="24"/>
          <w:szCs w:val="24"/>
          <w:lang w:val="en-US"/>
        </w:rPr>
        <w:t>life-spans</w:t>
      </w:r>
      <w:r w:rsidR="009915FC">
        <w:rPr>
          <w:rFonts w:ascii="Times New Roman" w:hAnsi="Times New Roman" w:cs="Times New Roman"/>
          <w:sz w:val="24"/>
          <w:szCs w:val="24"/>
          <w:lang w:val="en-US"/>
        </w:rPr>
        <w:t>, or the organization</w:t>
      </w:r>
      <w:r w:rsidR="00AC1A93">
        <w:rPr>
          <w:rFonts w:ascii="Times New Roman" w:hAnsi="Times New Roman" w:cs="Times New Roman"/>
          <w:sz w:val="24"/>
          <w:szCs w:val="24"/>
          <w:lang w:val="en-US"/>
        </w:rPr>
        <w:t xml:space="preserve"> and financing</w:t>
      </w:r>
      <w:r w:rsidR="009915FC">
        <w:rPr>
          <w:rFonts w:ascii="Times New Roman" w:hAnsi="Times New Roman" w:cs="Times New Roman"/>
          <w:sz w:val="24"/>
          <w:szCs w:val="24"/>
          <w:lang w:val="en-US"/>
        </w:rPr>
        <w:t xml:space="preserve"> of care services for the elderly (Tinker et al 2013, Mace 2014). </w:t>
      </w:r>
    </w:p>
    <w:p w14:paraId="514F2448" w14:textId="3AA5160A" w:rsidR="00A325AF" w:rsidRDefault="00AC1A93">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of the main questions for those concerned with </w:t>
      </w:r>
      <w:r w:rsidR="0049786B">
        <w:rPr>
          <w:rFonts w:ascii="Times New Roman" w:hAnsi="Times New Roman" w:cs="Times New Roman"/>
          <w:sz w:val="24"/>
          <w:szCs w:val="24"/>
          <w:lang w:val="en-US"/>
        </w:rPr>
        <w:t>socio-technical transitions</w:t>
      </w:r>
      <w:r>
        <w:rPr>
          <w:rFonts w:ascii="Times New Roman" w:hAnsi="Times New Roman" w:cs="Times New Roman"/>
          <w:sz w:val="24"/>
          <w:szCs w:val="24"/>
          <w:lang w:val="en-US"/>
        </w:rPr>
        <w:t xml:space="preserve"> reg</w:t>
      </w:r>
      <w:r w:rsidR="002443CB">
        <w:rPr>
          <w:rFonts w:ascii="Times New Roman" w:hAnsi="Times New Roman" w:cs="Times New Roman"/>
          <w:sz w:val="24"/>
          <w:szCs w:val="24"/>
          <w:lang w:val="en-US"/>
        </w:rPr>
        <w:t xml:space="preserve">ards the emergence of new </w:t>
      </w:r>
      <w:r w:rsidR="002E076C">
        <w:rPr>
          <w:rFonts w:ascii="Times New Roman" w:hAnsi="Times New Roman" w:cs="Times New Roman"/>
          <w:sz w:val="24"/>
          <w:szCs w:val="24"/>
          <w:lang w:val="en-US"/>
        </w:rPr>
        <w:t xml:space="preserve">technologies and respective restructuring of practices, organizations and institutions </w:t>
      </w:r>
      <w:r>
        <w:rPr>
          <w:rFonts w:ascii="Times New Roman" w:hAnsi="Times New Roman" w:cs="Times New Roman"/>
          <w:sz w:val="24"/>
          <w:szCs w:val="24"/>
          <w:lang w:val="en-US"/>
        </w:rPr>
        <w:t>i</w:t>
      </w:r>
      <w:r w:rsidRPr="006D501E">
        <w:rPr>
          <w:rFonts w:ascii="Times New Roman" w:hAnsi="Times New Roman" w:cs="Times New Roman"/>
          <w:sz w:val="24"/>
          <w:szCs w:val="24"/>
          <w:lang w:val="en-US"/>
        </w:rPr>
        <w:t>n</w:t>
      </w:r>
      <w:r>
        <w:rPr>
          <w:rFonts w:ascii="Times New Roman" w:hAnsi="Times New Roman" w:cs="Times New Roman"/>
          <w:sz w:val="24"/>
          <w:szCs w:val="24"/>
          <w:lang w:val="en-US"/>
        </w:rPr>
        <w:t xml:space="preserve"> the context of</w:t>
      </w:r>
      <w:r w:rsidR="00132330" w:rsidRPr="006D501E">
        <w:rPr>
          <w:rFonts w:ascii="Times New Roman" w:hAnsi="Times New Roman" w:cs="Times New Roman"/>
          <w:sz w:val="24"/>
          <w:szCs w:val="24"/>
          <w:lang w:val="en-US"/>
        </w:rPr>
        <w:t xml:space="preserve"> relatively stable regimes</w:t>
      </w:r>
      <w:r>
        <w:rPr>
          <w:rFonts w:ascii="Times New Roman" w:hAnsi="Times New Roman" w:cs="Times New Roman"/>
          <w:sz w:val="24"/>
          <w:szCs w:val="24"/>
          <w:lang w:val="en-US"/>
        </w:rPr>
        <w:t xml:space="preserve">. </w:t>
      </w:r>
      <w:r w:rsidRPr="006D501E">
        <w:rPr>
          <w:rFonts w:ascii="Times New Roman" w:hAnsi="Times New Roman" w:cs="Times New Roman"/>
          <w:sz w:val="24"/>
          <w:szCs w:val="24"/>
          <w:lang w:val="en-US"/>
        </w:rPr>
        <w:t xml:space="preserve">Here, a regime refers to an entrenched socio-technical system whose </w:t>
      </w:r>
      <w:r>
        <w:rPr>
          <w:rFonts w:ascii="Times New Roman" w:hAnsi="Times New Roman" w:cs="Times New Roman"/>
          <w:sz w:val="24"/>
          <w:szCs w:val="24"/>
          <w:lang w:val="en-US"/>
        </w:rPr>
        <w:t xml:space="preserve">specific </w:t>
      </w:r>
      <w:r w:rsidRPr="006D501E">
        <w:rPr>
          <w:rFonts w:ascii="Times New Roman" w:hAnsi="Times New Roman" w:cs="Times New Roman"/>
          <w:sz w:val="24"/>
          <w:szCs w:val="24"/>
          <w:lang w:val="en-US"/>
        </w:rPr>
        <w:t>institutional logic structures perception and behavio</w:t>
      </w:r>
      <w:r w:rsidR="007C0024">
        <w:rPr>
          <w:rFonts w:ascii="Times New Roman" w:hAnsi="Times New Roman" w:cs="Times New Roman"/>
          <w:sz w:val="24"/>
          <w:szCs w:val="24"/>
          <w:lang w:val="en-US"/>
        </w:rPr>
        <w:t>u</w:t>
      </w:r>
      <w:r w:rsidRPr="006D501E">
        <w:rPr>
          <w:rFonts w:ascii="Times New Roman" w:hAnsi="Times New Roman" w:cs="Times New Roman"/>
          <w:sz w:val="24"/>
          <w:szCs w:val="24"/>
          <w:lang w:val="en-US"/>
        </w:rPr>
        <w:t>r of actors, thus favo</w:t>
      </w:r>
      <w:r w:rsidR="007C0024">
        <w:rPr>
          <w:rFonts w:ascii="Times New Roman" w:hAnsi="Times New Roman" w:cs="Times New Roman"/>
          <w:sz w:val="24"/>
          <w:szCs w:val="24"/>
          <w:lang w:val="en-US"/>
        </w:rPr>
        <w:t>u</w:t>
      </w:r>
      <w:r w:rsidRPr="006D501E">
        <w:rPr>
          <w:rFonts w:ascii="Times New Roman" w:hAnsi="Times New Roman" w:cs="Times New Roman"/>
          <w:sz w:val="24"/>
          <w:szCs w:val="24"/>
          <w:lang w:val="en-US"/>
        </w:rPr>
        <w:t xml:space="preserve">ring path-dependent incremental change and impeding </w:t>
      </w:r>
      <w:r>
        <w:rPr>
          <w:rFonts w:ascii="Times New Roman" w:hAnsi="Times New Roman" w:cs="Times New Roman"/>
          <w:sz w:val="24"/>
          <w:szCs w:val="24"/>
          <w:lang w:val="en-US"/>
        </w:rPr>
        <w:t>large scale change (</w:t>
      </w:r>
      <w:r w:rsidR="00C51854">
        <w:rPr>
          <w:rFonts w:ascii="Times New Roman" w:hAnsi="Times New Roman" w:cs="Times New Roman"/>
          <w:sz w:val="24"/>
          <w:szCs w:val="24"/>
          <w:lang w:val="en-US"/>
        </w:rPr>
        <w:t>Geels 2002</w:t>
      </w:r>
      <w:r>
        <w:rPr>
          <w:rFonts w:ascii="Times New Roman" w:hAnsi="Times New Roman" w:cs="Times New Roman"/>
          <w:sz w:val="24"/>
          <w:szCs w:val="24"/>
          <w:lang w:val="en-US"/>
        </w:rPr>
        <w:t>)</w:t>
      </w:r>
      <w:r w:rsidRPr="006D501E">
        <w:rPr>
          <w:rFonts w:ascii="Times New Roman" w:hAnsi="Times New Roman" w:cs="Times New Roman"/>
          <w:sz w:val="24"/>
          <w:szCs w:val="24"/>
          <w:lang w:val="en-US"/>
        </w:rPr>
        <w:t xml:space="preserve">. </w:t>
      </w:r>
      <w:r>
        <w:rPr>
          <w:rFonts w:ascii="Times New Roman" w:hAnsi="Times New Roman" w:cs="Times New Roman"/>
          <w:sz w:val="24"/>
          <w:szCs w:val="24"/>
          <w:lang w:val="en-US"/>
        </w:rPr>
        <w:t>Changes to any given regime are thought</w:t>
      </w:r>
      <w:r w:rsidR="0015394D">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emerge primarily from activities at the niche level, and which under certain conditions have the potential to generate</w:t>
      </w:r>
      <w:r w:rsidRPr="006D501E">
        <w:rPr>
          <w:rFonts w:ascii="Times New Roman" w:hAnsi="Times New Roman" w:cs="Times New Roman"/>
          <w:sz w:val="24"/>
          <w:szCs w:val="24"/>
          <w:lang w:val="en-US"/>
        </w:rPr>
        <w:t xml:space="preserve"> system </w:t>
      </w:r>
      <w:r w:rsidR="0049786B">
        <w:rPr>
          <w:rFonts w:ascii="Times New Roman" w:hAnsi="Times New Roman" w:cs="Times New Roman"/>
          <w:sz w:val="24"/>
          <w:szCs w:val="24"/>
          <w:lang w:val="en-US"/>
        </w:rPr>
        <w:t>transformation</w:t>
      </w:r>
      <w:r w:rsidR="00132330" w:rsidRPr="006D501E">
        <w:rPr>
          <w:rFonts w:ascii="Times New Roman" w:hAnsi="Times New Roman" w:cs="Times New Roman"/>
          <w:sz w:val="24"/>
          <w:szCs w:val="24"/>
          <w:lang w:val="en-US"/>
        </w:rPr>
        <w:t xml:space="preserve"> (Sch</w:t>
      </w:r>
      <w:r w:rsidR="00782B3C">
        <w:rPr>
          <w:rFonts w:ascii="Times New Roman" w:hAnsi="Times New Roman" w:cs="Times New Roman"/>
          <w:sz w:val="24"/>
          <w:szCs w:val="24"/>
          <w:lang w:val="en-US"/>
        </w:rPr>
        <w:t>ot and Geels 2008; Smith et al</w:t>
      </w:r>
      <w:r w:rsidR="00132330" w:rsidRPr="006D501E">
        <w:rPr>
          <w:rFonts w:ascii="Times New Roman" w:hAnsi="Times New Roman" w:cs="Times New Roman"/>
          <w:sz w:val="24"/>
          <w:szCs w:val="24"/>
          <w:lang w:val="en-US"/>
        </w:rPr>
        <w:t xml:space="preserve"> 2010). </w:t>
      </w:r>
    </w:p>
    <w:p w14:paraId="642FC914" w14:textId="3B75AC23" w:rsidR="00A325AF" w:rsidRDefault="00132330">
      <w:pPr>
        <w:spacing w:after="120" w:line="480" w:lineRule="auto"/>
        <w:jc w:val="both"/>
        <w:rPr>
          <w:rFonts w:ascii="Times New Roman" w:hAnsi="Times New Roman" w:cs="Times New Roman"/>
          <w:sz w:val="24"/>
          <w:szCs w:val="24"/>
          <w:lang w:val="en-US"/>
        </w:rPr>
      </w:pPr>
      <w:r w:rsidRPr="006D501E">
        <w:rPr>
          <w:rFonts w:ascii="Times New Roman" w:hAnsi="Times New Roman" w:cs="Times New Roman"/>
          <w:sz w:val="24"/>
          <w:szCs w:val="24"/>
          <w:lang w:val="en-US"/>
        </w:rPr>
        <w:t xml:space="preserve">A niche is defined as an ‘incubation space’ for radically new technologies </w:t>
      </w:r>
      <w:r w:rsidR="00011324">
        <w:rPr>
          <w:rFonts w:ascii="Times New Roman" w:hAnsi="Times New Roman" w:cs="Times New Roman"/>
          <w:sz w:val="24"/>
          <w:szCs w:val="24"/>
          <w:lang w:val="en-US"/>
        </w:rPr>
        <w:t xml:space="preserve">and/or practices </w:t>
      </w:r>
      <w:r w:rsidRPr="006D501E">
        <w:rPr>
          <w:rFonts w:ascii="Times New Roman" w:hAnsi="Times New Roman" w:cs="Times New Roman"/>
          <w:sz w:val="24"/>
          <w:szCs w:val="24"/>
          <w:lang w:val="en-US"/>
        </w:rPr>
        <w:t xml:space="preserve">characterized by high technological, institutional and market uncertainty. </w:t>
      </w:r>
      <w:r w:rsidR="00A325AF">
        <w:rPr>
          <w:rFonts w:ascii="Times New Roman" w:hAnsi="Times New Roman" w:cs="Times New Roman"/>
          <w:sz w:val="24"/>
          <w:szCs w:val="24"/>
          <w:lang w:val="en-US"/>
        </w:rPr>
        <w:t>The function of n</w:t>
      </w:r>
      <w:r w:rsidRPr="006D501E">
        <w:rPr>
          <w:rFonts w:ascii="Times New Roman" w:hAnsi="Times New Roman" w:cs="Times New Roman"/>
          <w:sz w:val="24"/>
          <w:szCs w:val="24"/>
          <w:lang w:val="en-US"/>
        </w:rPr>
        <w:t>iches</w:t>
      </w:r>
      <w:r w:rsidR="00A325AF">
        <w:rPr>
          <w:rFonts w:ascii="Times New Roman" w:hAnsi="Times New Roman" w:cs="Times New Roman"/>
          <w:sz w:val="24"/>
          <w:szCs w:val="24"/>
          <w:lang w:val="en-US"/>
        </w:rPr>
        <w:t xml:space="preserve"> is to</w:t>
      </w:r>
      <w:r w:rsidRPr="006D501E">
        <w:rPr>
          <w:rFonts w:ascii="Times New Roman" w:hAnsi="Times New Roman" w:cs="Times New Roman"/>
          <w:sz w:val="24"/>
          <w:szCs w:val="24"/>
          <w:lang w:val="en-US"/>
        </w:rPr>
        <w:t xml:space="preserve"> protect radical innovations against market selection and institutional pressures from a</w:t>
      </w:r>
      <w:r w:rsidR="00596585">
        <w:rPr>
          <w:rFonts w:ascii="Times New Roman" w:hAnsi="Times New Roman" w:cs="Times New Roman"/>
          <w:sz w:val="24"/>
          <w:szCs w:val="24"/>
          <w:lang w:val="en-US"/>
        </w:rPr>
        <w:t>n existing</w:t>
      </w:r>
      <w:r w:rsidRPr="006D501E">
        <w:rPr>
          <w:rFonts w:ascii="Times New Roman" w:hAnsi="Times New Roman" w:cs="Times New Roman"/>
          <w:sz w:val="24"/>
          <w:szCs w:val="24"/>
          <w:lang w:val="en-US"/>
        </w:rPr>
        <w:t xml:space="preserve"> regime and </w:t>
      </w:r>
      <w:r w:rsidR="00A325AF">
        <w:rPr>
          <w:rFonts w:ascii="Times New Roman" w:hAnsi="Times New Roman" w:cs="Times New Roman"/>
          <w:sz w:val="24"/>
          <w:szCs w:val="24"/>
          <w:lang w:val="en-US"/>
        </w:rPr>
        <w:t xml:space="preserve">to </w:t>
      </w:r>
      <w:r w:rsidRPr="006D501E">
        <w:rPr>
          <w:rFonts w:ascii="Times New Roman" w:hAnsi="Times New Roman" w:cs="Times New Roman"/>
          <w:sz w:val="24"/>
          <w:szCs w:val="24"/>
          <w:lang w:val="en-US"/>
        </w:rPr>
        <w:t>al</w:t>
      </w:r>
      <w:r w:rsidR="00011324">
        <w:rPr>
          <w:rFonts w:ascii="Times New Roman" w:hAnsi="Times New Roman" w:cs="Times New Roman"/>
          <w:sz w:val="24"/>
          <w:szCs w:val="24"/>
          <w:lang w:val="en-US"/>
        </w:rPr>
        <w:t xml:space="preserve">low actors to learn about these novelties </w:t>
      </w:r>
      <w:r w:rsidRPr="006D501E">
        <w:rPr>
          <w:rFonts w:ascii="Times New Roman" w:hAnsi="Times New Roman" w:cs="Times New Roman"/>
          <w:sz w:val="24"/>
          <w:szCs w:val="24"/>
          <w:lang w:val="en-US"/>
        </w:rPr>
        <w:t>and their uses through</w:t>
      </w:r>
      <w:r w:rsidR="00782B3C">
        <w:rPr>
          <w:rFonts w:ascii="Times New Roman" w:hAnsi="Times New Roman" w:cs="Times New Roman"/>
          <w:sz w:val="24"/>
          <w:szCs w:val="24"/>
          <w:lang w:val="en-US"/>
        </w:rPr>
        <w:t xml:space="preserve"> experimentation (Coenen et al</w:t>
      </w:r>
      <w:r w:rsidR="00054FDA">
        <w:rPr>
          <w:rFonts w:ascii="Times New Roman" w:hAnsi="Times New Roman" w:cs="Times New Roman"/>
          <w:sz w:val="24"/>
          <w:szCs w:val="24"/>
          <w:lang w:val="en-US"/>
        </w:rPr>
        <w:t xml:space="preserve"> 2010</w:t>
      </w:r>
      <w:r w:rsidRPr="006D501E">
        <w:rPr>
          <w:rFonts w:ascii="Times New Roman" w:hAnsi="Times New Roman" w:cs="Times New Roman"/>
          <w:sz w:val="24"/>
          <w:szCs w:val="24"/>
          <w:lang w:val="en-US"/>
        </w:rPr>
        <w:t>).</w:t>
      </w:r>
      <w:r w:rsidR="00790341" w:rsidRPr="006D501E">
        <w:rPr>
          <w:rFonts w:ascii="Times New Roman" w:hAnsi="Times New Roman" w:cs="Times New Roman"/>
          <w:sz w:val="24"/>
          <w:szCs w:val="24"/>
          <w:lang w:val="en-US"/>
        </w:rPr>
        <w:t xml:space="preserve"> System </w:t>
      </w:r>
      <w:r w:rsidR="0049786B">
        <w:rPr>
          <w:rFonts w:ascii="Times New Roman" w:hAnsi="Times New Roman" w:cs="Times New Roman"/>
          <w:sz w:val="24"/>
          <w:szCs w:val="24"/>
          <w:lang w:val="en-US"/>
        </w:rPr>
        <w:t>transformation</w:t>
      </w:r>
      <w:r w:rsidR="0049786B" w:rsidRPr="006D501E">
        <w:rPr>
          <w:rFonts w:ascii="Times New Roman" w:hAnsi="Times New Roman" w:cs="Times New Roman"/>
          <w:sz w:val="24"/>
          <w:szCs w:val="24"/>
          <w:lang w:val="en-US"/>
        </w:rPr>
        <w:t xml:space="preserve"> </w:t>
      </w:r>
      <w:r w:rsidR="00790341" w:rsidRPr="006D501E">
        <w:rPr>
          <w:rFonts w:ascii="Times New Roman" w:hAnsi="Times New Roman" w:cs="Times New Roman"/>
          <w:sz w:val="24"/>
          <w:szCs w:val="24"/>
          <w:lang w:val="en-US"/>
        </w:rPr>
        <w:t>is</w:t>
      </w:r>
      <w:r w:rsidR="00A325AF">
        <w:rPr>
          <w:rFonts w:ascii="Times New Roman" w:hAnsi="Times New Roman" w:cs="Times New Roman"/>
          <w:sz w:val="24"/>
          <w:szCs w:val="24"/>
          <w:lang w:val="en-US"/>
        </w:rPr>
        <w:t xml:space="preserve"> </w:t>
      </w:r>
      <w:r w:rsidR="00790341" w:rsidRPr="006D501E">
        <w:rPr>
          <w:rFonts w:ascii="Times New Roman" w:hAnsi="Times New Roman" w:cs="Times New Roman"/>
          <w:sz w:val="24"/>
          <w:szCs w:val="24"/>
          <w:lang w:val="en-US"/>
        </w:rPr>
        <w:t xml:space="preserve">believed to occur when niches gather sufficient momentum so that these relatively loose configurations become institutionalized and create capacity for emergent technologies and </w:t>
      </w:r>
      <w:r w:rsidR="00011324">
        <w:rPr>
          <w:rFonts w:ascii="Times New Roman" w:hAnsi="Times New Roman" w:cs="Times New Roman"/>
          <w:sz w:val="24"/>
          <w:szCs w:val="24"/>
          <w:lang w:val="en-US"/>
        </w:rPr>
        <w:t>practices</w:t>
      </w:r>
      <w:r w:rsidR="00790341" w:rsidRPr="006D501E">
        <w:rPr>
          <w:rFonts w:ascii="Times New Roman" w:hAnsi="Times New Roman" w:cs="Times New Roman"/>
          <w:sz w:val="24"/>
          <w:szCs w:val="24"/>
          <w:lang w:val="en-US"/>
        </w:rPr>
        <w:t xml:space="preserve"> to challenge and </w:t>
      </w:r>
      <w:r w:rsidR="00D86971">
        <w:rPr>
          <w:rFonts w:ascii="Times New Roman" w:hAnsi="Times New Roman" w:cs="Times New Roman"/>
          <w:sz w:val="24"/>
          <w:szCs w:val="24"/>
          <w:lang w:val="en-US"/>
        </w:rPr>
        <w:t>r</w:t>
      </w:r>
      <w:r w:rsidR="00853FC2">
        <w:rPr>
          <w:rFonts w:ascii="Times New Roman" w:hAnsi="Times New Roman" w:cs="Times New Roman"/>
          <w:sz w:val="24"/>
          <w:szCs w:val="24"/>
          <w:lang w:val="en-US"/>
        </w:rPr>
        <w:t>e-institutionalize</w:t>
      </w:r>
      <w:r w:rsidR="00853FC2" w:rsidRPr="006D501E">
        <w:rPr>
          <w:rFonts w:ascii="Times New Roman" w:hAnsi="Times New Roman" w:cs="Times New Roman"/>
          <w:sz w:val="24"/>
          <w:szCs w:val="24"/>
          <w:lang w:val="en-US"/>
        </w:rPr>
        <w:t xml:space="preserve"> </w:t>
      </w:r>
      <w:r w:rsidR="00790341" w:rsidRPr="006D501E">
        <w:rPr>
          <w:rFonts w:ascii="Times New Roman" w:hAnsi="Times New Roman" w:cs="Times New Roman"/>
          <w:sz w:val="24"/>
          <w:szCs w:val="24"/>
          <w:lang w:val="en-US"/>
        </w:rPr>
        <w:t>a regime</w:t>
      </w:r>
      <w:r w:rsidR="00BE19ED">
        <w:rPr>
          <w:rFonts w:ascii="Times New Roman" w:hAnsi="Times New Roman" w:cs="Times New Roman"/>
          <w:sz w:val="24"/>
          <w:szCs w:val="24"/>
          <w:lang w:val="en-US"/>
        </w:rPr>
        <w:t>.</w:t>
      </w:r>
      <w:r w:rsidR="00011324">
        <w:rPr>
          <w:rFonts w:ascii="Times New Roman" w:hAnsi="Times New Roman" w:cs="Times New Roman"/>
          <w:sz w:val="24"/>
          <w:szCs w:val="24"/>
          <w:lang w:val="en-US"/>
        </w:rPr>
        <w:t xml:space="preserve"> </w:t>
      </w:r>
    </w:p>
    <w:p w14:paraId="5C70763E" w14:textId="77FA5A4A" w:rsidR="00A325AF" w:rsidRDefault="00132330">
      <w:pPr>
        <w:spacing w:after="120" w:line="480" w:lineRule="auto"/>
        <w:jc w:val="both"/>
        <w:rPr>
          <w:rFonts w:ascii="Times New Roman" w:hAnsi="Times New Roman" w:cs="Times New Roman"/>
          <w:sz w:val="24"/>
          <w:szCs w:val="24"/>
          <w:lang w:val="en-US"/>
        </w:rPr>
      </w:pPr>
      <w:r w:rsidRPr="006D501E">
        <w:rPr>
          <w:rFonts w:ascii="Times New Roman" w:hAnsi="Times New Roman" w:cs="Times New Roman"/>
          <w:sz w:val="24"/>
          <w:szCs w:val="24"/>
          <w:lang w:val="en-US"/>
        </w:rPr>
        <w:t xml:space="preserve">One means by which </w:t>
      </w:r>
      <w:r w:rsidR="00790341" w:rsidRPr="006D501E">
        <w:rPr>
          <w:rFonts w:ascii="Times New Roman" w:hAnsi="Times New Roman" w:cs="Times New Roman"/>
          <w:sz w:val="24"/>
          <w:szCs w:val="24"/>
          <w:lang w:val="en-US"/>
        </w:rPr>
        <w:t>system innovations</w:t>
      </w:r>
      <w:r w:rsidRPr="006D501E">
        <w:rPr>
          <w:rFonts w:ascii="Times New Roman" w:hAnsi="Times New Roman" w:cs="Times New Roman"/>
          <w:sz w:val="24"/>
          <w:szCs w:val="24"/>
          <w:lang w:val="en-US"/>
        </w:rPr>
        <w:t xml:space="preserve"> are thought to proceed is through SNM, Strateg</w:t>
      </w:r>
      <w:r w:rsidR="00782B3C">
        <w:rPr>
          <w:rFonts w:ascii="Times New Roman" w:hAnsi="Times New Roman" w:cs="Times New Roman"/>
          <w:sz w:val="24"/>
          <w:szCs w:val="24"/>
          <w:lang w:val="en-US"/>
        </w:rPr>
        <w:t>ic Niche Management (Kemp et al</w:t>
      </w:r>
      <w:r w:rsidRPr="006D501E">
        <w:rPr>
          <w:rFonts w:ascii="Times New Roman" w:hAnsi="Times New Roman" w:cs="Times New Roman"/>
          <w:sz w:val="24"/>
          <w:szCs w:val="24"/>
          <w:lang w:val="en-US"/>
        </w:rPr>
        <w:t xml:space="preserve"> 1998) – whereby governments, or other actors, deliberately </w:t>
      </w:r>
      <w:r w:rsidRPr="006D501E">
        <w:rPr>
          <w:rFonts w:ascii="Times New Roman" w:hAnsi="Times New Roman" w:cs="Times New Roman"/>
          <w:sz w:val="24"/>
          <w:szCs w:val="24"/>
          <w:lang w:val="en-US"/>
        </w:rPr>
        <w:lastRenderedPageBreak/>
        <w:t>seek to establish conditions under which niches for innovation can grow and ‘break</w:t>
      </w:r>
      <w:r w:rsidR="0015394D">
        <w:rPr>
          <w:rFonts w:ascii="Times New Roman" w:hAnsi="Times New Roman" w:cs="Times New Roman"/>
          <w:sz w:val="24"/>
          <w:szCs w:val="24"/>
          <w:lang w:val="en-US"/>
        </w:rPr>
        <w:t xml:space="preserve"> </w:t>
      </w:r>
      <w:r w:rsidRPr="006D501E">
        <w:rPr>
          <w:rFonts w:ascii="Times New Roman" w:hAnsi="Times New Roman" w:cs="Times New Roman"/>
          <w:sz w:val="24"/>
          <w:szCs w:val="24"/>
          <w:lang w:val="en-US"/>
        </w:rPr>
        <w:t xml:space="preserve">through’ existing regime conditions. </w:t>
      </w:r>
      <w:r w:rsidR="0015394D">
        <w:rPr>
          <w:rFonts w:ascii="Times New Roman" w:hAnsi="Times New Roman" w:cs="Times New Roman"/>
          <w:sz w:val="24"/>
          <w:szCs w:val="24"/>
          <w:lang w:val="en-US"/>
        </w:rPr>
        <w:t>Importantly, d</w:t>
      </w:r>
      <w:r w:rsidR="007A30B8">
        <w:rPr>
          <w:rFonts w:ascii="Times New Roman" w:hAnsi="Times New Roman" w:cs="Times New Roman"/>
          <w:sz w:val="24"/>
          <w:szCs w:val="24"/>
          <w:lang w:val="en-US"/>
        </w:rPr>
        <w:t xml:space="preserve">espite </w:t>
      </w:r>
      <w:r w:rsidR="000317C4">
        <w:rPr>
          <w:rFonts w:ascii="Times New Roman" w:hAnsi="Times New Roman" w:cs="Times New Roman"/>
          <w:sz w:val="24"/>
          <w:szCs w:val="24"/>
          <w:lang w:val="en-US"/>
        </w:rPr>
        <w:t>a</w:t>
      </w:r>
      <w:r w:rsidR="007A30B8">
        <w:rPr>
          <w:rFonts w:ascii="Times New Roman" w:hAnsi="Times New Roman" w:cs="Times New Roman"/>
          <w:sz w:val="24"/>
          <w:szCs w:val="24"/>
          <w:lang w:val="en-US"/>
        </w:rPr>
        <w:t xml:space="preserve"> rather unfortunate and misleading allusion to ‘management</w:t>
      </w:r>
      <w:r w:rsidR="000317C4">
        <w:rPr>
          <w:rStyle w:val="FootnoteReference"/>
          <w:rFonts w:ascii="Times New Roman" w:hAnsi="Times New Roman" w:cs="Times New Roman"/>
          <w:sz w:val="24"/>
          <w:szCs w:val="24"/>
          <w:lang w:val="en-US"/>
        </w:rPr>
        <w:footnoteReference w:id="1"/>
      </w:r>
      <w:r w:rsidR="007A30B8">
        <w:rPr>
          <w:rFonts w:ascii="Times New Roman" w:hAnsi="Times New Roman" w:cs="Times New Roman"/>
          <w:sz w:val="24"/>
          <w:szCs w:val="24"/>
          <w:lang w:val="en-US"/>
        </w:rPr>
        <w:t xml:space="preserve">’ </w:t>
      </w:r>
      <w:r w:rsidRPr="006D501E">
        <w:rPr>
          <w:rFonts w:ascii="Times New Roman" w:hAnsi="Times New Roman" w:cs="Times New Roman"/>
          <w:sz w:val="24"/>
          <w:szCs w:val="24"/>
          <w:lang w:val="en-US"/>
        </w:rPr>
        <w:t xml:space="preserve">this approach </w:t>
      </w:r>
      <w:r w:rsidR="000317C4" w:rsidRPr="006D501E">
        <w:rPr>
          <w:rFonts w:ascii="Times New Roman" w:hAnsi="Times New Roman" w:cs="Times New Roman"/>
          <w:sz w:val="24"/>
          <w:szCs w:val="24"/>
          <w:lang w:val="en-US"/>
        </w:rPr>
        <w:t>emphasiz</w:t>
      </w:r>
      <w:r w:rsidR="000317C4">
        <w:rPr>
          <w:rFonts w:ascii="Times New Roman" w:hAnsi="Times New Roman" w:cs="Times New Roman"/>
          <w:sz w:val="24"/>
          <w:szCs w:val="24"/>
          <w:lang w:val="en-US"/>
        </w:rPr>
        <w:t>es</w:t>
      </w:r>
      <w:r w:rsidRPr="006D501E">
        <w:rPr>
          <w:rFonts w:ascii="Times New Roman" w:hAnsi="Times New Roman" w:cs="Times New Roman"/>
          <w:sz w:val="24"/>
          <w:szCs w:val="24"/>
          <w:lang w:val="en-US"/>
        </w:rPr>
        <w:t xml:space="preserve"> </w:t>
      </w:r>
      <w:r w:rsidR="002443CB">
        <w:rPr>
          <w:rFonts w:ascii="Times New Roman" w:hAnsi="Times New Roman" w:cs="Times New Roman"/>
          <w:sz w:val="24"/>
          <w:szCs w:val="24"/>
          <w:lang w:val="en-US"/>
        </w:rPr>
        <w:t xml:space="preserve">entrepreneurial </w:t>
      </w:r>
      <w:r w:rsidR="008C4413">
        <w:rPr>
          <w:rFonts w:ascii="Times New Roman" w:hAnsi="Times New Roman" w:cs="Times New Roman"/>
          <w:sz w:val="24"/>
          <w:szCs w:val="24"/>
          <w:lang w:val="en-US"/>
        </w:rPr>
        <w:t xml:space="preserve">experimentation as a means to govern </w:t>
      </w:r>
      <w:r w:rsidR="00644E01">
        <w:rPr>
          <w:rFonts w:ascii="Times New Roman" w:hAnsi="Times New Roman" w:cs="Times New Roman"/>
          <w:sz w:val="24"/>
          <w:szCs w:val="24"/>
          <w:lang w:val="en-US"/>
        </w:rPr>
        <w:t xml:space="preserve">system </w:t>
      </w:r>
      <w:r w:rsidR="008C4413">
        <w:rPr>
          <w:rFonts w:ascii="Times New Roman" w:hAnsi="Times New Roman" w:cs="Times New Roman"/>
          <w:sz w:val="24"/>
          <w:szCs w:val="24"/>
          <w:lang w:val="en-US"/>
        </w:rPr>
        <w:t>innovation</w:t>
      </w:r>
      <w:r w:rsidR="002443CB">
        <w:rPr>
          <w:rFonts w:ascii="Times New Roman" w:hAnsi="Times New Roman" w:cs="Times New Roman"/>
          <w:sz w:val="24"/>
          <w:szCs w:val="24"/>
          <w:lang w:val="en-US"/>
        </w:rPr>
        <w:t xml:space="preserve"> rather than centralized control</w:t>
      </w:r>
      <w:r w:rsidR="000317C4" w:rsidRPr="000317C4">
        <w:rPr>
          <w:rFonts w:ascii="Times New Roman" w:hAnsi="Times New Roman" w:cs="Times New Roman"/>
          <w:sz w:val="24"/>
          <w:szCs w:val="24"/>
          <w:lang w:val="en-US"/>
        </w:rPr>
        <w:t xml:space="preserve"> (Bulkeley </w:t>
      </w:r>
      <w:r w:rsidR="00782B3C">
        <w:rPr>
          <w:rFonts w:ascii="Times New Roman" w:hAnsi="Times New Roman" w:cs="Times New Roman"/>
          <w:sz w:val="24"/>
          <w:szCs w:val="24"/>
          <w:lang w:val="en-US"/>
        </w:rPr>
        <w:t>et al</w:t>
      </w:r>
      <w:r w:rsidR="000317C4" w:rsidRPr="000317C4">
        <w:rPr>
          <w:rFonts w:ascii="Times New Roman" w:hAnsi="Times New Roman" w:cs="Times New Roman"/>
          <w:sz w:val="24"/>
          <w:szCs w:val="24"/>
          <w:lang w:val="en-US"/>
        </w:rPr>
        <w:t xml:space="preserve"> 2012)</w:t>
      </w:r>
      <w:r w:rsidR="008C4413">
        <w:rPr>
          <w:rFonts w:ascii="Times New Roman" w:hAnsi="Times New Roman" w:cs="Times New Roman"/>
          <w:sz w:val="24"/>
          <w:szCs w:val="24"/>
          <w:lang w:val="en-US"/>
        </w:rPr>
        <w:t xml:space="preserve">. </w:t>
      </w:r>
      <w:r w:rsidR="00A325AF">
        <w:rPr>
          <w:rFonts w:ascii="Times New Roman" w:hAnsi="Times New Roman" w:cs="Times New Roman"/>
          <w:sz w:val="24"/>
          <w:szCs w:val="24"/>
          <w:lang w:val="en-US"/>
        </w:rPr>
        <w:t>E</w:t>
      </w:r>
      <w:r w:rsidR="00AA50E4">
        <w:rPr>
          <w:rFonts w:ascii="Times New Roman" w:hAnsi="Times New Roman" w:cs="Times New Roman"/>
          <w:sz w:val="24"/>
          <w:szCs w:val="24"/>
          <w:lang w:val="en-US"/>
        </w:rPr>
        <w:t xml:space="preserve">ntrepreneurial experimentation </w:t>
      </w:r>
      <w:r w:rsidR="00F15B8D">
        <w:rPr>
          <w:rFonts w:ascii="Times New Roman" w:hAnsi="Times New Roman" w:cs="Times New Roman"/>
          <w:sz w:val="24"/>
          <w:szCs w:val="24"/>
          <w:lang w:val="en-US"/>
        </w:rPr>
        <w:t xml:space="preserve">suggests </w:t>
      </w:r>
      <w:r w:rsidR="00AA50E4">
        <w:rPr>
          <w:rFonts w:ascii="Times New Roman" w:hAnsi="Times New Roman" w:cs="Times New Roman"/>
          <w:sz w:val="24"/>
          <w:szCs w:val="24"/>
          <w:lang w:val="en-US"/>
        </w:rPr>
        <w:t xml:space="preserve">that “linking knowledge and its </w:t>
      </w:r>
      <w:r w:rsidR="00D86971">
        <w:rPr>
          <w:rFonts w:ascii="Times New Roman" w:hAnsi="Times New Roman" w:cs="Times New Roman"/>
          <w:sz w:val="24"/>
          <w:szCs w:val="24"/>
          <w:lang w:val="en-US"/>
        </w:rPr>
        <w:t>societal</w:t>
      </w:r>
      <w:r w:rsidR="00AA50E4">
        <w:rPr>
          <w:rFonts w:ascii="Times New Roman" w:hAnsi="Times New Roman" w:cs="Times New Roman"/>
          <w:sz w:val="24"/>
          <w:szCs w:val="24"/>
          <w:lang w:val="en-US"/>
        </w:rPr>
        <w:t xml:space="preserve"> use is often a trial-and-error process in which existing knowledge is used and combined, new knowledge is created, suitable routines are elaborated upon, market opportunities are screened and combinations of knowledge, routines, and markets are tested a</w:t>
      </w:r>
      <w:r w:rsidR="002C1273">
        <w:rPr>
          <w:rFonts w:ascii="Times New Roman" w:hAnsi="Times New Roman" w:cs="Times New Roman"/>
          <w:sz w:val="24"/>
          <w:szCs w:val="24"/>
          <w:lang w:val="en-US"/>
        </w:rPr>
        <w:t>nd continually adapted” (Benner</w:t>
      </w:r>
      <w:r w:rsidR="00AA50E4">
        <w:rPr>
          <w:rFonts w:ascii="Times New Roman" w:hAnsi="Times New Roman" w:cs="Times New Roman"/>
          <w:sz w:val="24"/>
          <w:szCs w:val="24"/>
          <w:lang w:val="en-US"/>
        </w:rPr>
        <w:t xml:space="preserve"> 2014, p. 4</w:t>
      </w:r>
      <w:r w:rsidR="001C67E4">
        <w:rPr>
          <w:rFonts w:ascii="Times New Roman" w:hAnsi="Times New Roman" w:cs="Times New Roman"/>
          <w:sz w:val="24"/>
          <w:szCs w:val="24"/>
          <w:lang w:val="en-US"/>
        </w:rPr>
        <w:t>2</w:t>
      </w:r>
      <w:r w:rsidR="00AA50E4">
        <w:rPr>
          <w:rFonts w:ascii="Times New Roman" w:hAnsi="Times New Roman" w:cs="Times New Roman"/>
          <w:sz w:val="24"/>
          <w:szCs w:val="24"/>
          <w:lang w:val="en-US"/>
        </w:rPr>
        <w:t>)</w:t>
      </w:r>
      <w:r w:rsidR="00D86971">
        <w:rPr>
          <w:rFonts w:ascii="Times New Roman" w:hAnsi="Times New Roman" w:cs="Times New Roman"/>
          <w:sz w:val="24"/>
          <w:szCs w:val="24"/>
          <w:lang w:val="en-US"/>
        </w:rPr>
        <w:t>.</w:t>
      </w:r>
      <w:r w:rsidR="00A325AF">
        <w:rPr>
          <w:rFonts w:ascii="Times New Roman" w:hAnsi="Times New Roman" w:cs="Times New Roman"/>
          <w:sz w:val="24"/>
          <w:szCs w:val="24"/>
          <w:lang w:val="en-US"/>
        </w:rPr>
        <w:t xml:space="preserve"> </w:t>
      </w:r>
    </w:p>
    <w:p w14:paraId="64F06D07" w14:textId="7F016179" w:rsidR="002443CB" w:rsidRDefault="0015394D" w:rsidP="006A4FD5">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Here it posits</w:t>
      </w:r>
      <w:r w:rsidR="00A7070B" w:rsidRPr="00A7070B">
        <w:rPr>
          <w:rFonts w:ascii="Times New Roman" w:hAnsi="Times New Roman" w:cs="Times New Roman"/>
          <w:sz w:val="24"/>
          <w:szCs w:val="24"/>
          <w:lang w:val="en-US"/>
        </w:rPr>
        <w:t xml:space="preserve"> a generous conception of entrepreneurial </w:t>
      </w:r>
      <w:r w:rsidR="00FD0E36">
        <w:rPr>
          <w:rFonts w:ascii="Times New Roman" w:hAnsi="Times New Roman" w:cs="Times New Roman"/>
          <w:sz w:val="24"/>
          <w:szCs w:val="24"/>
          <w:lang w:val="en-US"/>
        </w:rPr>
        <w:t>activity</w:t>
      </w:r>
      <w:r w:rsidR="00A7070B" w:rsidRPr="00A7070B">
        <w:rPr>
          <w:rFonts w:ascii="Times New Roman" w:hAnsi="Times New Roman" w:cs="Times New Roman"/>
          <w:sz w:val="24"/>
          <w:szCs w:val="24"/>
          <w:lang w:val="en-US"/>
        </w:rPr>
        <w:t xml:space="preserve">, so much so that </w:t>
      </w:r>
      <w:r w:rsidR="00FD0E36">
        <w:rPr>
          <w:rFonts w:ascii="Times New Roman" w:hAnsi="Times New Roman" w:cs="Times New Roman"/>
          <w:sz w:val="24"/>
          <w:szCs w:val="24"/>
          <w:lang w:val="en-US"/>
        </w:rPr>
        <w:t>it</w:t>
      </w:r>
      <w:r w:rsidR="00A7070B" w:rsidRPr="00A7070B">
        <w:rPr>
          <w:rFonts w:ascii="Times New Roman" w:hAnsi="Times New Roman" w:cs="Times New Roman"/>
          <w:sz w:val="24"/>
          <w:szCs w:val="24"/>
          <w:lang w:val="en-US"/>
        </w:rPr>
        <w:t xml:space="preserve"> is located not just in firms</w:t>
      </w:r>
      <w:r w:rsidR="00FD0E36">
        <w:rPr>
          <w:rFonts w:ascii="Times New Roman" w:hAnsi="Times New Roman" w:cs="Times New Roman"/>
          <w:sz w:val="24"/>
          <w:szCs w:val="24"/>
          <w:lang w:val="en-US"/>
        </w:rPr>
        <w:t xml:space="preserve"> </w:t>
      </w:r>
      <w:r w:rsidR="00A7070B" w:rsidRPr="00A7070B">
        <w:rPr>
          <w:rFonts w:ascii="Times New Roman" w:hAnsi="Times New Roman" w:cs="Times New Roman"/>
          <w:sz w:val="24"/>
          <w:szCs w:val="24"/>
          <w:lang w:val="en-US"/>
        </w:rPr>
        <w:t xml:space="preserve">but in a wide array of other agents and institutions, including </w:t>
      </w:r>
      <w:r w:rsidR="001F0849">
        <w:rPr>
          <w:rFonts w:ascii="Times New Roman" w:hAnsi="Times New Roman" w:cs="Times New Roman"/>
          <w:sz w:val="24"/>
          <w:szCs w:val="24"/>
          <w:lang w:val="en-US"/>
        </w:rPr>
        <w:t xml:space="preserve">users, </w:t>
      </w:r>
      <w:r w:rsidR="001F0849" w:rsidRPr="00A7070B">
        <w:rPr>
          <w:rFonts w:ascii="Times New Roman" w:hAnsi="Times New Roman" w:cs="Times New Roman"/>
          <w:sz w:val="24"/>
          <w:szCs w:val="24"/>
          <w:lang w:val="en-US"/>
        </w:rPr>
        <w:t>universities</w:t>
      </w:r>
      <w:r w:rsidR="001F0849">
        <w:rPr>
          <w:rFonts w:ascii="Times New Roman" w:hAnsi="Times New Roman" w:cs="Times New Roman"/>
          <w:sz w:val="24"/>
          <w:szCs w:val="24"/>
          <w:lang w:val="en-US"/>
        </w:rPr>
        <w:t xml:space="preserve"> and actors in the public sector, such as municipalities, state agencies</w:t>
      </w:r>
      <w:r w:rsidR="007F4566">
        <w:rPr>
          <w:rFonts w:ascii="Times New Roman" w:hAnsi="Times New Roman" w:cs="Times New Roman"/>
          <w:sz w:val="24"/>
          <w:szCs w:val="24"/>
          <w:lang w:val="en-US"/>
        </w:rPr>
        <w:t>,</w:t>
      </w:r>
      <w:r w:rsidR="00A7070B" w:rsidRPr="00A7070B">
        <w:rPr>
          <w:rFonts w:ascii="Times New Roman" w:hAnsi="Times New Roman" w:cs="Times New Roman"/>
          <w:sz w:val="24"/>
          <w:szCs w:val="24"/>
          <w:lang w:val="en-US"/>
        </w:rPr>
        <w:t xml:space="preserve"> public laboratories, medical scho</w:t>
      </w:r>
      <w:r w:rsidR="00DB5D9E">
        <w:rPr>
          <w:rFonts w:ascii="Times New Roman" w:hAnsi="Times New Roman" w:cs="Times New Roman"/>
          <w:sz w:val="24"/>
          <w:szCs w:val="24"/>
          <w:lang w:val="en-US"/>
        </w:rPr>
        <w:t xml:space="preserve">ols and communities of practice. </w:t>
      </w:r>
      <w:r w:rsidR="006A6585" w:rsidRPr="006D501E">
        <w:rPr>
          <w:rFonts w:ascii="Times New Roman" w:hAnsi="Times New Roman" w:cs="Times New Roman"/>
          <w:sz w:val="24"/>
          <w:szCs w:val="24"/>
          <w:lang w:val="en-US"/>
        </w:rPr>
        <w:t xml:space="preserve">In SNM, experimental projects in real-life contexts are seen to be critical by bringing together actors from variation and selection environments in shared networking and learning activities. In these experiments, firms, research institutes, universities and governments search and explore </w:t>
      </w:r>
      <w:r w:rsidR="009C60BD">
        <w:rPr>
          <w:rFonts w:ascii="Times New Roman" w:hAnsi="Times New Roman" w:cs="Times New Roman"/>
          <w:sz w:val="24"/>
          <w:szCs w:val="24"/>
          <w:lang w:val="en-US"/>
        </w:rPr>
        <w:t>novel</w:t>
      </w:r>
      <w:r w:rsidR="006A6585" w:rsidRPr="006D501E">
        <w:rPr>
          <w:rFonts w:ascii="Times New Roman" w:hAnsi="Times New Roman" w:cs="Times New Roman"/>
          <w:sz w:val="24"/>
          <w:szCs w:val="24"/>
          <w:lang w:val="en-US"/>
        </w:rPr>
        <w:t xml:space="preserve"> combinations </w:t>
      </w:r>
      <w:r w:rsidR="009C60BD">
        <w:rPr>
          <w:rFonts w:ascii="Times New Roman" w:hAnsi="Times New Roman" w:cs="Times New Roman"/>
          <w:sz w:val="24"/>
          <w:szCs w:val="24"/>
          <w:lang w:val="en-US"/>
        </w:rPr>
        <w:t>and</w:t>
      </w:r>
      <w:r w:rsidR="009C60BD" w:rsidRPr="006D501E">
        <w:rPr>
          <w:rFonts w:ascii="Times New Roman" w:hAnsi="Times New Roman" w:cs="Times New Roman"/>
          <w:sz w:val="24"/>
          <w:szCs w:val="24"/>
          <w:lang w:val="en-US"/>
        </w:rPr>
        <w:t xml:space="preserve"> </w:t>
      </w:r>
      <w:r w:rsidR="00575953" w:rsidRPr="006D501E">
        <w:rPr>
          <w:rFonts w:ascii="Times New Roman" w:hAnsi="Times New Roman" w:cs="Times New Roman"/>
          <w:sz w:val="24"/>
          <w:szCs w:val="24"/>
          <w:lang w:val="en-US"/>
        </w:rPr>
        <w:t>innovations</w:t>
      </w:r>
      <w:r w:rsidR="006A6585" w:rsidRPr="006D501E">
        <w:rPr>
          <w:rFonts w:ascii="Times New Roman" w:hAnsi="Times New Roman" w:cs="Times New Roman"/>
          <w:sz w:val="24"/>
          <w:szCs w:val="24"/>
          <w:lang w:val="en-US"/>
        </w:rPr>
        <w:t xml:space="preserve"> and their social and institutional embedding. </w:t>
      </w:r>
      <w:r w:rsidR="00AF16ED">
        <w:rPr>
          <w:rFonts w:ascii="Times New Roman" w:hAnsi="Times New Roman" w:cs="Times New Roman"/>
          <w:sz w:val="24"/>
          <w:szCs w:val="24"/>
          <w:lang w:val="en-US"/>
        </w:rPr>
        <w:t>These experimental projects are often carried out at the local level though connected through trans-local communities of advocates</w:t>
      </w:r>
      <w:r w:rsidR="00172895">
        <w:rPr>
          <w:rFonts w:ascii="Times New Roman" w:hAnsi="Times New Roman" w:cs="Times New Roman"/>
          <w:sz w:val="24"/>
          <w:szCs w:val="24"/>
          <w:lang w:val="en-US"/>
        </w:rPr>
        <w:t>,</w:t>
      </w:r>
      <w:r w:rsidR="00AF16ED">
        <w:rPr>
          <w:rFonts w:ascii="Times New Roman" w:hAnsi="Times New Roman" w:cs="Times New Roman"/>
          <w:sz w:val="24"/>
          <w:szCs w:val="24"/>
          <w:lang w:val="en-US"/>
        </w:rPr>
        <w:t xml:space="preserve"> experts</w:t>
      </w:r>
      <w:r w:rsidR="00172895">
        <w:rPr>
          <w:rFonts w:ascii="Times New Roman" w:hAnsi="Times New Roman" w:cs="Times New Roman"/>
          <w:sz w:val="24"/>
          <w:szCs w:val="24"/>
          <w:lang w:val="en-US"/>
        </w:rPr>
        <w:t>,</w:t>
      </w:r>
      <w:r w:rsidR="00AF16ED">
        <w:rPr>
          <w:rFonts w:ascii="Times New Roman" w:hAnsi="Times New Roman" w:cs="Times New Roman"/>
          <w:sz w:val="24"/>
          <w:szCs w:val="24"/>
          <w:lang w:val="en-US"/>
        </w:rPr>
        <w:t xml:space="preserve"> networks of firms and policy-makers (Sengers and Raven, 2014). </w:t>
      </w:r>
    </w:p>
    <w:p w14:paraId="15FA6836" w14:textId="6B78A7AF" w:rsidR="00D9718D" w:rsidRDefault="002443CB" w:rsidP="006A4FD5">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Nonetheless, a</w:t>
      </w:r>
      <w:r w:rsidR="006A6585" w:rsidRPr="006D501E">
        <w:rPr>
          <w:rFonts w:ascii="Times New Roman" w:hAnsi="Times New Roman" w:cs="Times New Roman"/>
          <w:sz w:val="24"/>
          <w:szCs w:val="24"/>
          <w:lang w:val="en-US"/>
        </w:rPr>
        <w:t xml:space="preserve"> key challenge that these niche experiments </w:t>
      </w:r>
      <w:r w:rsidR="00172895">
        <w:rPr>
          <w:rFonts w:ascii="Times New Roman" w:hAnsi="Times New Roman" w:cs="Times New Roman"/>
          <w:sz w:val="24"/>
          <w:szCs w:val="24"/>
          <w:lang w:val="en-US"/>
        </w:rPr>
        <w:t>face</w:t>
      </w:r>
      <w:r w:rsidR="006A6585" w:rsidRPr="006D501E">
        <w:rPr>
          <w:rFonts w:ascii="Times New Roman" w:hAnsi="Times New Roman" w:cs="Times New Roman"/>
          <w:sz w:val="24"/>
          <w:szCs w:val="24"/>
          <w:lang w:val="en-US"/>
        </w:rPr>
        <w:t xml:space="preserve"> concerns how to upscale successful innovations and practices beyond their initial </w:t>
      </w:r>
      <w:r w:rsidR="00172895">
        <w:rPr>
          <w:rFonts w:ascii="Times New Roman" w:hAnsi="Times New Roman" w:cs="Times New Roman"/>
          <w:sz w:val="24"/>
          <w:szCs w:val="24"/>
          <w:lang w:val="en-US"/>
        </w:rPr>
        <w:t>limited context</w:t>
      </w:r>
      <w:r w:rsidR="00782B3C">
        <w:rPr>
          <w:rFonts w:ascii="Times New Roman" w:hAnsi="Times New Roman" w:cs="Times New Roman"/>
          <w:sz w:val="24"/>
          <w:szCs w:val="24"/>
          <w:lang w:val="en-US"/>
        </w:rPr>
        <w:t xml:space="preserve"> (Geels et al</w:t>
      </w:r>
      <w:r w:rsidR="00323300" w:rsidRPr="006D501E">
        <w:rPr>
          <w:rFonts w:ascii="Times New Roman" w:hAnsi="Times New Roman" w:cs="Times New Roman"/>
          <w:sz w:val="24"/>
          <w:szCs w:val="24"/>
          <w:lang w:val="en-US"/>
        </w:rPr>
        <w:t xml:space="preserve"> 2008)</w:t>
      </w:r>
      <w:r w:rsidR="006A6585" w:rsidRPr="006D501E">
        <w:rPr>
          <w:rFonts w:ascii="Times New Roman" w:hAnsi="Times New Roman" w:cs="Times New Roman"/>
          <w:sz w:val="24"/>
          <w:szCs w:val="24"/>
          <w:lang w:val="en-US"/>
        </w:rPr>
        <w:t>.</w:t>
      </w:r>
      <w:r w:rsidR="00323300" w:rsidRPr="006D501E">
        <w:rPr>
          <w:rFonts w:ascii="Times New Roman" w:hAnsi="Times New Roman" w:cs="Times New Roman"/>
          <w:sz w:val="24"/>
          <w:szCs w:val="24"/>
          <w:lang w:val="en-US"/>
        </w:rPr>
        <w:t xml:space="preserve"> </w:t>
      </w:r>
      <w:r w:rsidR="0055638D" w:rsidRPr="006D501E">
        <w:rPr>
          <w:rFonts w:ascii="Times New Roman" w:hAnsi="Times New Roman" w:cs="Times New Roman"/>
          <w:sz w:val="24"/>
          <w:szCs w:val="24"/>
          <w:lang w:val="en-US"/>
        </w:rPr>
        <w:t xml:space="preserve">Whereas attention has been paid primarily to the roles of ‘shielding’ and ‘nurturing’, </w:t>
      </w:r>
      <w:r w:rsidR="006C1EE1" w:rsidRPr="006D501E">
        <w:rPr>
          <w:rFonts w:ascii="Times New Roman" w:hAnsi="Times New Roman" w:cs="Times New Roman"/>
          <w:sz w:val="24"/>
          <w:szCs w:val="24"/>
          <w:lang w:val="en-US"/>
        </w:rPr>
        <w:t>Smith and Raven (2012)</w:t>
      </w:r>
      <w:r w:rsidR="0055638D" w:rsidRPr="006D501E">
        <w:rPr>
          <w:rFonts w:ascii="Times New Roman" w:hAnsi="Times New Roman" w:cs="Times New Roman"/>
          <w:sz w:val="24"/>
          <w:szCs w:val="24"/>
          <w:lang w:val="en-US"/>
        </w:rPr>
        <w:t xml:space="preserve"> argue that more focus should be given to the ‘empowering’ role of niches</w:t>
      </w:r>
      <w:r w:rsidR="00EF1D66" w:rsidRPr="006D501E">
        <w:rPr>
          <w:rFonts w:ascii="Times New Roman" w:hAnsi="Times New Roman" w:cs="Times New Roman"/>
          <w:sz w:val="24"/>
          <w:szCs w:val="24"/>
          <w:lang w:val="en-US"/>
        </w:rPr>
        <w:t xml:space="preserve">. “Shielding involves processes that hold off selection pressures in the context of multi-dimensional selection environments (industry structures, technologies and infrastructures, </w:t>
      </w:r>
      <w:r w:rsidR="00EF1D66" w:rsidRPr="006D501E">
        <w:rPr>
          <w:rFonts w:ascii="Times New Roman" w:hAnsi="Times New Roman" w:cs="Times New Roman"/>
          <w:sz w:val="24"/>
          <w:szCs w:val="24"/>
          <w:lang w:val="en-US"/>
        </w:rPr>
        <w:lastRenderedPageBreak/>
        <w:t>knowledge base, markets and dominant user practices, public policies and political power, cultural significance). Nurturing involves processes that support the development of path-breaking innovation within passive and active shielded spaces through the development of shared, positive expectations, social learning and actor network building</w:t>
      </w:r>
      <w:r w:rsidR="00C46B57" w:rsidRPr="00C46B57">
        <w:rPr>
          <w:rFonts w:ascii="Times New Roman" w:hAnsi="Times New Roman" w:cs="Times New Roman"/>
          <w:sz w:val="24"/>
          <w:szCs w:val="24"/>
          <w:lang w:val="en-US"/>
        </w:rPr>
        <w:t xml:space="preserve"> or the development of syst</w:t>
      </w:r>
      <w:r w:rsidR="009D7FFD">
        <w:rPr>
          <w:rFonts w:ascii="Times New Roman" w:hAnsi="Times New Roman" w:cs="Times New Roman"/>
          <w:sz w:val="24"/>
          <w:szCs w:val="24"/>
          <w:lang w:val="en-US"/>
        </w:rPr>
        <w:t>em structures and functions</w:t>
      </w:r>
      <w:r w:rsidR="00EF1D66" w:rsidRPr="006D501E">
        <w:rPr>
          <w:rFonts w:ascii="Times New Roman" w:hAnsi="Times New Roman" w:cs="Times New Roman"/>
          <w:sz w:val="24"/>
          <w:szCs w:val="24"/>
          <w:lang w:val="en-US"/>
        </w:rPr>
        <w:t>. Empowering involves processes that make niche innovations competitive within unchanged selection environments (fit and conform) or processes that change mainstream selection environments favourable to the path-breaking innovation (stretch and transform)”</w:t>
      </w:r>
      <w:r w:rsidR="007C0024">
        <w:rPr>
          <w:rFonts w:ascii="Times New Roman" w:hAnsi="Times New Roman" w:cs="Times New Roman"/>
          <w:sz w:val="24"/>
          <w:szCs w:val="24"/>
          <w:lang w:val="en-US"/>
        </w:rPr>
        <w:t>.</w:t>
      </w:r>
      <w:r w:rsidR="00EF1D66" w:rsidRPr="006D501E">
        <w:rPr>
          <w:rFonts w:ascii="Times New Roman" w:hAnsi="Times New Roman" w:cs="Times New Roman"/>
          <w:sz w:val="24"/>
          <w:szCs w:val="24"/>
          <w:lang w:val="en-US"/>
        </w:rPr>
        <w:t xml:space="preserve"> (</w:t>
      </w:r>
      <w:r w:rsidR="00D77A10">
        <w:rPr>
          <w:rFonts w:ascii="Times New Roman" w:hAnsi="Times New Roman" w:cs="Times New Roman"/>
          <w:sz w:val="24"/>
          <w:szCs w:val="24"/>
          <w:lang w:val="en-US"/>
        </w:rPr>
        <w:t xml:space="preserve">Smith and Raven 2012, p. </w:t>
      </w:r>
      <w:r w:rsidR="007C0024">
        <w:rPr>
          <w:rFonts w:ascii="Times New Roman" w:hAnsi="Times New Roman" w:cs="Times New Roman"/>
          <w:sz w:val="24"/>
          <w:szCs w:val="24"/>
          <w:lang w:val="en-US"/>
        </w:rPr>
        <w:t>1034)</w:t>
      </w:r>
      <w:r w:rsidR="00ED16A9" w:rsidRPr="006D501E">
        <w:rPr>
          <w:rFonts w:ascii="Times New Roman" w:hAnsi="Times New Roman" w:cs="Times New Roman"/>
          <w:sz w:val="24"/>
          <w:szCs w:val="24"/>
          <w:lang w:val="en-US"/>
        </w:rPr>
        <w:t xml:space="preserve"> </w:t>
      </w:r>
      <w:r w:rsidR="005A086E" w:rsidRPr="006D501E">
        <w:rPr>
          <w:rFonts w:ascii="Times New Roman" w:hAnsi="Times New Roman" w:cs="Times New Roman"/>
          <w:sz w:val="24"/>
          <w:szCs w:val="24"/>
          <w:lang w:val="en-US"/>
        </w:rPr>
        <w:t xml:space="preserve"> </w:t>
      </w:r>
    </w:p>
    <w:p w14:paraId="4E0BE1A2" w14:textId="3ECC1463" w:rsidR="006F3256" w:rsidRPr="006D501E" w:rsidRDefault="00F12810" w:rsidP="00DA712E">
      <w:pPr>
        <w:pStyle w:val="Heading3"/>
        <w:rPr>
          <w:lang w:val="en-US"/>
        </w:rPr>
      </w:pPr>
      <w:r>
        <w:rPr>
          <w:lang w:val="en-US"/>
        </w:rPr>
        <w:t>G</w:t>
      </w:r>
      <w:r w:rsidR="000E1C11">
        <w:rPr>
          <w:lang w:val="en-US"/>
        </w:rPr>
        <w:t>overnance of system innovation</w:t>
      </w:r>
    </w:p>
    <w:p w14:paraId="2CDBB79E" w14:textId="6E2A925C" w:rsidR="00C51854" w:rsidRDefault="00EF1D66" w:rsidP="006A4FD5">
      <w:pPr>
        <w:spacing w:after="120" w:line="480" w:lineRule="auto"/>
        <w:jc w:val="both"/>
        <w:rPr>
          <w:rFonts w:ascii="Times New Roman" w:hAnsi="Times New Roman" w:cs="Times New Roman"/>
          <w:sz w:val="24"/>
          <w:szCs w:val="24"/>
          <w:lang w:val="en-US"/>
        </w:rPr>
      </w:pPr>
      <w:r w:rsidRPr="006D501E">
        <w:rPr>
          <w:rFonts w:ascii="Times New Roman" w:hAnsi="Times New Roman" w:cs="Times New Roman"/>
          <w:sz w:val="24"/>
          <w:szCs w:val="24"/>
          <w:lang w:val="en-US"/>
        </w:rPr>
        <w:t>An important unresolved issue</w:t>
      </w:r>
      <w:r w:rsidR="002443CB">
        <w:rPr>
          <w:rFonts w:ascii="Times New Roman" w:hAnsi="Times New Roman" w:cs="Times New Roman"/>
          <w:sz w:val="24"/>
          <w:szCs w:val="24"/>
          <w:lang w:val="en-US"/>
        </w:rPr>
        <w:t xml:space="preserve"> </w:t>
      </w:r>
      <w:r w:rsidR="00B00C2E">
        <w:rPr>
          <w:rFonts w:ascii="Times New Roman" w:hAnsi="Times New Roman" w:cs="Times New Roman"/>
          <w:sz w:val="24"/>
          <w:szCs w:val="24"/>
          <w:lang w:val="en-US"/>
        </w:rPr>
        <w:t xml:space="preserve">concerns </w:t>
      </w:r>
      <w:r w:rsidRPr="006D501E">
        <w:rPr>
          <w:rFonts w:ascii="Times New Roman" w:hAnsi="Times New Roman" w:cs="Times New Roman"/>
          <w:sz w:val="24"/>
          <w:szCs w:val="24"/>
          <w:lang w:val="en-US"/>
        </w:rPr>
        <w:t xml:space="preserve">what role(s) the state could play when shielding, nurturing and empowering niche-level innovation. Some argue that niches are not created by governments but require instead experimentation with the distribution of responsibilities and the </w:t>
      </w:r>
      <w:r w:rsidR="00D5442F" w:rsidRPr="006D501E">
        <w:rPr>
          <w:rFonts w:ascii="Times New Roman" w:hAnsi="Times New Roman" w:cs="Times New Roman"/>
          <w:sz w:val="24"/>
          <w:szCs w:val="24"/>
          <w:lang w:val="en-US"/>
        </w:rPr>
        <w:t>organization</w:t>
      </w:r>
      <w:r w:rsidRPr="006D501E">
        <w:rPr>
          <w:rFonts w:ascii="Times New Roman" w:hAnsi="Times New Roman" w:cs="Times New Roman"/>
          <w:sz w:val="24"/>
          <w:szCs w:val="24"/>
          <w:lang w:val="en-US"/>
        </w:rPr>
        <w:t xml:space="preserve"> of relations between state, market, civil society and science and technology (Schot and Geels 2008). Others however assert that state </w:t>
      </w:r>
      <w:r w:rsidR="00644E01">
        <w:rPr>
          <w:rFonts w:ascii="Times New Roman" w:hAnsi="Times New Roman" w:cs="Times New Roman"/>
          <w:sz w:val="24"/>
          <w:szCs w:val="24"/>
          <w:lang w:val="en-US"/>
        </w:rPr>
        <w:t>action</w:t>
      </w:r>
      <w:r w:rsidR="00644E01" w:rsidRPr="006D501E">
        <w:rPr>
          <w:rFonts w:ascii="Times New Roman" w:hAnsi="Times New Roman" w:cs="Times New Roman"/>
          <w:sz w:val="24"/>
          <w:szCs w:val="24"/>
          <w:lang w:val="en-US"/>
        </w:rPr>
        <w:t xml:space="preserve"> </w:t>
      </w:r>
      <w:r w:rsidRPr="006D501E">
        <w:rPr>
          <w:rFonts w:ascii="Times New Roman" w:hAnsi="Times New Roman" w:cs="Times New Roman"/>
          <w:sz w:val="24"/>
          <w:szCs w:val="24"/>
          <w:lang w:val="en-US"/>
        </w:rPr>
        <w:t xml:space="preserve">remains essential, as important processes implied by </w:t>
      </w:r>
      <w:r w:rsidR="009D7FFD">
        <w:rPr>
          <w:rFonts w:ascii="Times New Roman" w:hAnsi="Times New Roman" w:cs="Times New Roman"/>
          <w:sz w:val="24"/>
          <w:szCs w:val="24"/>
          <w:lang w:val="en-US"/>
        </w:rPr>
        <w:t>SNM</w:t>
      </w:r>
      <w:r w:rsidRPr="006D501E">
        <w:rPr>
          <w:rFonts w:ascii="Times New Roman" w:hAnsi="Times New Roman" w:cs="Times New Roman"/>
          <w:sz w:val="24"/>
          <w:szCs w:val="24"/>
          <w:lang w:val="en-US"/>
        </w:rPr>
        <w:t xml:space="preserve"> can only be engineered through political </w:t>
      </w:r>
      <w:r w:rsidR="009D7FFD">
        <w:rPr>
          <w:rFonts w:ascii="Times New Roman" w:hAnsi="Times New Roman" w:cs="Times New Roman"/>
          <w:sz w:val="24"/>
          <w:szCs w:val="24"/>
          <w:lang w:val="en-US"/>
        </w:rPr>
        <w:t>support</w:t>
      </w:r>
      <w:r w:rsidRPr="006D501E">
        <w:rPr>
          <w:rFonts w:ascii="Times New Roman" w:hAnsi="Times New Roman" w:cs="Times New Roman"/>
          <w:sz w:val="24"/>
          <w:szCs w:val="24"/>
          <w:lang w:val="en-US"/>
        </w:rPr>
        <w:t xml:space="preserve">, and </w:t>
      </w:r>
      <w:r w:rsidR="00D5442F" w:rsidRPr="006D501E">
        <w:rPr>
          <w:rFonts w:ascii="Times New Roman" w:hAnsi="Times New Roman" w:cs="Times New Roman"/>
          <w:sz w:val="24"/>
          <w:szCs w:val="24"/>
          <w:lang w:val="en-US"/>
        </w:rPr>
        <w:t>legitimized</w:t>
      </w:r>
      <w:r w:rsidRPr="006D501E">
        <w:rPr>
          <w:rFonts w:ascii="Times New Roman" w:hAnsi="Times New Roman" w:cs="Times New Roman"/>
          <w:sz w:val="24"/>
          <w:szCs w:val="24"/>
          <w:lang w:val="en-US"/>
        </w:rPr>
        <w:t xml:space="preserve"> and enforced through the institu</w:t>
      </w:r>
      <w:r w:rsidR="00054FDA">
        <w:rPr>
          <w:rFonts w:ascii="Times New Roman" w:hAnsi="Times New Roman" w:cs="Times New Roman"/>
          <w:sz w:val="24"/>
          <w:szCs w:val="24"/>
          <w:lang w:val="en-US"/>
        </w:rPr>
        <w:t>tions of the state (Meadowcroft</w:t>
      </w:r>
      <w:r w:rsidRPr="006D501E">
        <w:rPr>
          <w:rFonts w:ascii="Times New Roman" w:hAnsi="Times New Roman" w:cs="Times New Roman"/>
          <w:sz w:val="24"/>
          <w:szCs w:val="24"/>
          <w:lang w:val="en-US"/>
        </w:rPr>
        <w:t xml:space="preserve"> 2011). </w:t>
      </w:r>
      <w:r w:rsidR="00D5442F" w:rsidRPr="006D501E">
        <w:rPr>
          <w:rFonts w:ascii="Times New Roman" w:hAnsi="Times New Roman" w:cs="Times New Roman"/>
          <w:sz w:val="24"/>
          <w:szCs w:val="24"/>
          <w:lang w:val="en-US"/>
        </w:rPr>
        <w:t>Ultimately,</w:t>
      </w:r>
      <w:r w:rsidR="006C1EE1" w:rsidRPr="006D501E">
        <w:rPr>
          <w:rFonts w:ascii="Times New Roman" w:hAnsi="Times New Roman" w:cs="Times New Roman"/>
          <w:sz w:val="24"/>
          <w:szCs w:val="24"/>
          <w:lang w:val="en-US"/>
        </w:rPr>
        <w:t xml:space="preserve"> this question depends on what kinds of government and states are implied, foregrounding the im</w:t>
      </w:r>
      <w:r w:rsidR="007C0024">
        <w:rPr>
          <w:rFonts w:ascii="Times New Roman" w:hAnsi="Times New Roman" w:cs="Times New Roman"/>
          <w:sz w:val="24"/>
          <w:szCs w:val="24"/>
          <w:lang w:val="en-US"/>
        </w:rPr>
        <w:t>portance of spatial contextualiz</w:t>
      </w:r>
      <w:r w:rsidR="006C1EE1" w:rsidRPr="006D501E">
        <w:rPr>
          <w:rFonts w:ascii="Times New Roman" w:hAnsi="Times New Roman" w:cs="Times New Roman"/>
          <w:sz w:val="24"/>
          <w:szCs w:val="24"/>
          <w:lang w:val="en-US"/>
        </w:rPr>
        <w:t xml:space="preserve">ation </w:t>
      </w:r>
      <w:r w:rsidR="0031113D">
        <w:rPr>
          <w:rFonts w:ascii="Times New Roman" w:hAnsi="Times New Roman" w:cs="Times New Roman"/>
          <w:sz w:val="24"/>
          <w:szCs w:val="24"/>
          <w:lang w:val="en-US"/>
        </w:rPr>
        <w:t xml:space="preserve">and </w:t>
      </w:r>
      <w:r w:rsidR="00D5442F">
        <w:rPr>
          <w:rFonts w:ascii="Times New Roman" w:hAnsi="Times New Roman" w:cs="Times New Roman"/>
          <w:sz w:val="24"/>
          <w:szCs w:val="24"/>
          <w:lang w:val="en-US"/>
        </w:rPr>
        <w:t>the characteristics of</w:t>
      </w:r>
      <w:r w:rsidR="0031113D">
        <w:rPr>
          <w:rFonts w:ascii="Times New Roman" w:hAnsi="Times New Roman" w:cs="Times New Roman"/>
          <w:sz w:val="24"/>
          <w:szCs w:val="24"/>
          <w:lang w:val="en-US"/>
        </w:rPr>
        <w:t xml:space="preserve"> governance</w:t>
      </w:r>
      <w:r w:rsidR="00D5442F">
        <w:rPr>
          <w:rFonts w:ascii="Times New Roman" w:hAnsi="Times New Roman" w:cs="Times New Roman"/>
          <w:sz w:val="24"/>
          <w:szCs w:val="24"/>
          <w:lang w:val="en-US"/>
        </w:rPr>
        <w:t xml:space="preserve"> regimes</w:t>
      </w:r>
      <w:r w:rsidR="0031113D">
        <w:rPr>
          <w:rFonts w:ascii="Times New Roman" w:hAnsi="Times New Roman" w:cs="Times New Roman"/>
          <w:sz w:val="24"/>
          <w:szCs w:val="24"/>
          <w:lang w:val="en-US"/>
        </w:rPr>
        <w:t xml:space="preserve"> </w:t>
      </w:r>
      <w:r w:rsidR="00782B3C">
        <w:rPr>
          <w:rFonts w:ascii="Times New Roman" w:hAnsi="Times New Roman" w:cs="Times New Roman"/>
          <w:sz w:val="24"/>
          <w:szCs w:val="24"/>
          <w:lang w:val="en-US"/>
        </w:rPr>
        <w:t>(Coenen et al</w:t>
      </w:r>
      <w:r w:rsidR="006C1EE1" w:rsidRPr="006D501E">
        <w:rPr>
          <w:rFonts w:ascii="Times New Roman" w:hAnsi="Times New Roman" w:cs="Times New Roman"/>
          <w:sz w:val="24"/>
          <w:szCs w:val="24"/>
          <w:lang w:val="en-US"/>
        </w:rPr>
        <w:t xml:space="preserve"> 2012). The concept of the embedded state </w:t>
      </w:r>
      <w:r w:rsidR="00AF6CC3">
        <w:rPr>
          <w:rFonts w:ascii="Times New Roman" w:hAnsi="Times New Roman" w:cs="Times New Roman"/>
          <w:sz w:val="24"/>
          <w:szCs w:val="24"/>
          <w:lang w:val="en-US"/>
        </w:rPr>
        <w:t xml:space="preserve">(Evans 1995) </w:t>
      </w:r>
      <w:r w:rsidR="006C1EE1" w:rsidRPr="006D501E">
        <w:rPr>
          <w:rFonts w:ascii="Times New Roman" w:hAnsi="Times New Roman" w:cs="Times New Roman"/>
          <w:sz w:val="24"/>
          <w:szCs w:val="24"/>
          <w:lang w:val="en-US"/>
        </w:rPr>
        <w:t xml:space="preserve">is employed </w:t>
      </w:r>
      <w:r w:rsidR="0029476D">
        <w:rPr>
          <w:rFonts w:ascii="Times New Roman" w:hAnsi="Times New Roman" w:cs="Times New Roman"/>
          <w:sz w:val="24"/>
          <w:szCs w:val="24"/>
          <w:lang w:val="en-US"/>
        </w:rPr>
        <w:t xml:space="preserve">in this paper </w:t>
      </w:r>
      <w:r w:rsidR="006C1EE1" w:rsidRPr="006D501E">
        <w:rPr>
          <w:rFonts w:ascii="Times New Roman" w:hAnsi="Times New Roman" w:cs="Times New Roman"/>
          <w:sz w:val="24"/>
          <w:szCs w:val="24"/>
          <w:lang w:val="en-US"/>
        </w:rPr>
        <w:t xml:space="preserve">to </w:t>
      </w:r>
      <w:r w:rsidR="00D5442F">
        <w:rPr>
          <w:rFonts w:ascii="Times New Roman" w:hAnsi="Times New Roman" w:cs="Times New Roman"/>
          <w:sz w:val="24"/>
          <w:szCs w:val="24"/>
          <w:lang w:val="en-US"/>
        </w:rPr>
        <w:t>discuss</w:t>
      </w:r>
      <w:r w:rsidR="00D5442F" w:rsidRPr="006D501E">
        <w:rPr>
          <w:rFonts w:ascii="Times New Roman" w:hAnsi="Times New Roman" w:cs="Times New Roman"/>
          <w:sz w:val="24"/>
          <w:szCs w:val="24"/>
          <w:lang w:val="en-US"/>
        </w:rPr>
        <w:t xml:space="preserve"> </w:t>
      </w:r>
      <w:r w:rsidR="006C1EE1" w:rsidRPr="006D501E">
        <w:rPr>
          <w:rFonts w:ascii="Times New Roman" w:hAnsi="Times New Roman" w:cs="Times New Roman"/>
          <w:sz w:val="24"/>
          <w:szCs w:val="24"/>
          <w:lang w:val="en-US"/>
        </w:rPr>
        <w:t xml:space="preserve">the mode of state engagement that seems most attuned to experimentation. </w:t>
      </w:r>
    </w:p>
    <w:p w14:paraId="2DD53F5D" w14:textId="59AED01A" w:rsidR="00D5442F" w:rsidRDefault="00AF6CC3" w:rsidP="006A4FD5">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Evans (1995) argued that rather than debating ‘how much’ states intervene in society, it would be necessary to discuss different ways in which they intervene and the implications of these modes of engagement for society at large. Drawing on</w:t>
      </w:r>
      <w:r w:rsidRPr="00E2707C">
        <w:rPr>
          <w:rFonts w:ascii="Times New Roman" w:hAnsi="Times New Roman" w:cs="Times New Roman"/>
          <w:sz w:val="24"/>
          <w:szCs w:val="24"/>
          <w:lang w:val="en-US"/>
        </w:rPr>
        <w:t xml:space="preserve"> measures of bureaucratic autonomy</w:t>
      </w:r>
      <w:r>
        <w:rPr>
          <w:rFonts w:ascii="Times New Roman" w:hAnsi="Times New Roman" w:cs="Times New Roman"/>
          <w:sz w:val="24"/>
          <w:szCs w:val="24"/>
          <w:lang w:val="en-US"/>
        </w:rPr>
        <w:t xml:space="preserve">, inspired by the work of Max Weber (Weber 1978), this line of work argues that ‘good governance </w:t>
      </w:r>
      <w:r w:rsidRPr="00E2707C">
        <w:rPr>
          <w:rFonts w:ascii="Times New Roman" w:hAnsi="Times New Roman" w:cs="Times New Roman"/>
          <w:sz w:val="24"/>
          <w:szCs w:val="24"/>
          <w:lang w:val="en-US"/>
        </w:rPr>
        <w:t>is based on the correlation between two variables:</w:t>
      </w:r>
      <w:r>
        <w:rPr>
          <w:rFonts w:ascii="Times New Roman" w:hAnsi="Times New Roman" w:cs="Times New Roman"/>
          <w:sz w:val="24"/>
          <w:szCs w:val="24"/>
          <w:lang w:val="en-US"/>
        </w:rPr>
        <w:t xml:space="preserve"> first is</w:t>
      </w:r>
      <w:r w:rsidRPr="00E2707C">
        <w:rPr>
          <w:rFonts w:ascii="Times New Roman" w:hAnsi="Times New Roman" w:cs="Times New Roman"/>
          <w:sz w:val="24"/>
          <w:szCs w:val="24"/>
          <w:lang w:val="en-US"/>
        </w:rPr>
        <w:t xml:space="preserve"> the professionalization of </w:t>
      </w:r>
      <w:r w:rsidRPr="00E2707C">
        <w:rPr>
          <w:rFonts w:ascii="Times New Roman" w:hAnsi="Times New Roman" w:cs="Times New Roman"/>
          <w:sz w:val="24"/>
          <w:szCs w:val="24"/>
          <w:lang w:val="en-US"/>
        </w:rPr>
        <w:lastRenderedPageBreak/>
        <w:t>the public sector, which i</w:t>
      </w:r>
      <w:r>
        <w:rPr>
          <w:rFonts w:ascii="Times New Roman" w:hAnsi="Times New Roman" w:cs="Times New Roman"/>
          <w:sz w:val="24"/>
          <w:szCs w:val="24"/>
          <w:lang w:val="en-US"/>
        </w:rPr>
        <w:t>ncludes the quality of training</w:t>
      </w:r>
      <w:r w:rsidRPr="00E2707C">
        <w:rPr>
          <w:rFonts w:ascii="Times New Roman" w:hAnsi="Times New Roman" w:cs="Times New Roman"/>
          <w:sz w:val="24"/>
          <w:szCs w:val="24"/>
          <w:lang w:val="en-US"/>
        </w:rPr>
        <w:t xml:space="preserve"> and transparent measures for</w:t>
      </w:r>
      <w:r>
        <w:rPr>
          <w:rFonts w:ascii="Times New Roman" w:hAnsi="Times New Roman" w:cs="Times New Roman"/>
          <w:sz w:val="24"/>
          <w:szCs w:val="24"/>
          <w:lang w:val="en-US"/>
        </w:rPr>
        <w:t xml:space="preserve"> hiring and promoting staff. Second is</w:t>
      </w:r>
      <w:r w:rsidRPr="00E2707C">
        <w:rPr>
          <w:rFonts w:ascii="Times New Roman" w:hAnsi="Times New Roman" w:cs="Times New Roman"/>
          <w:sz w:val="24"/>
          <w:szCs w:val="24"/>
          <w:lang w:val="en-US"/>
        </w:rPr>
        <w:t xml:space="preserve"> the autonomy of the</w:t>
      </w:r>
      <w:r>
        <w:rPr>
          <w:rFonts w:ascii="Times New Roman" w:hAnsi="Times New Roman" w:cs="Times New Roman"/>
          <w:sz w:val="24"/>
          <w:szCs w:val="24"/>
          <w:lang w:val="en-US"/>
        </w:rPr>
        <w:t xml:space="preserve"> public sector from politicians. Here </w:t>
      </w:r>
      <w:r w:rsidRPr="00E2707C">
        <w:rPr>
          <w:rFonts w:ascii="Times New Roman" w:hAnsi="Times New Roman" w:cs="Times New Roman"/>
          <w:sz w:val="24"/>
          <w:szCs w:val="24"/>
          <w:lang w:val="en-US"/>
        </w:rPr>
        <w:t>the goal is to have a balance between too litt</w:t>
      </w:r>
      <w:r w:rsidR="007C0024">
        <w:rPr>
          <w:rFonts w:ascii="Times New Roman" w:hAnsi="Times New Roman" w:cs="Times New Roman"/>
          <w:sz w:val="24"/>
          <w:szCs w:val="24"/>
          <w:lang w:val="en-US"/>
        </w:rPr>
        <w:t>le autonomy (excessive centraliz</w:t>
      </w:r>
      <w:r w:rsidRPr="00E2707C">
        <w:rPr>
          <w:rFonts w:ascii="Times New Roman" w:hAnsi="Times New Roman" w:cs="Times New Roman"/>
          <w:sz w:val="24"/>
          <w:szCs w:val="24"/>
          <w:lang w:val="en-US"/>
        </w:rPr>
        <w:t>ation which creates dependence on political cycles and smothers creativity) and too much autonomy (creates an unaccountable public sector, which looks after its own interests)</w:t>
      </w:r>
      <w:r>
        <w:rPr>
          <w:rFonts w:ascii="Times New Roman" w:hAnsi="Times New Roman" w:cs="Times New Roman"/>
          <w:sz w:val="24"/>
          <w:szCs w:val="24"/>
          <w:lang w:val="en-US"/>
        </w:rPr>
        <w:t xml:space="preserve"> (Evans 1995, Fukuyama 2013)</w:t>
      </w:r>
      <w:r w:rsidRPr="00E2707C">
        <w:rPr>
          <w:rFonts w:ascii="Times New Roman" w:hAnsi="Times New Roman" w:cs="Times New Roman"/>
          <w:sz w:val="24"/>
          <w:szCs w:val="24"/>
          <w:lang w:val="en-US"/>
        </w:rPr>
        <w:t xml:space="preserve">. This </w:t>
      </w:r>
      <w:r>
        <w:rPr>
          <w:rFonts w:ascii="Times New Roman" w:hAnsi="Times New Roman" w:cs="Times New Roman"/>
          <w:sz w:val="24"/>
          <w:szCs w:val="24"/>
          <w:lang w:val="en-US"/>
        </w:rPr>
        <w:t>balance is called embedded autonomy, because ‘b</w:t>
      </w:r>
      <w:r w:rsidRPr="00E2707C">
        <w:rPr>
          <w:rFonts w:ascii="Times New Roman" w:hAnsi="Times New Roman" w:cs="Times New Roman"/>
          <w:sz w:val="24"/>
          <w:szCs w:val="24"/>
          <w:lang w:val="en-US"/>
        </w:rPr>
        <w:t>ureaucrats need to be shielded from certain influences of social actors, but also subordinate to the society with rega</w:t>
      </w:r>
      <w:r>
        <w:rPr>
          <w:rFonts w:ascii="Times New Roman" w:hAnsi="Times New Roman" w:cs="Times New Roman"/>
          <w:sz w:val="24"/>
          <w:szCs w:val="24"/>
          <w:lang w:val="en-US"/>
        </w:rPr>
        <w:t>rds to larger goals” (Fukuyama 2013, pp. 11</w:t>
      </w:r>
      <w:r w:rsidRPr="00E2707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296865D2" w14:textId="22725F79" w:rsidR="00E2707C" w:rsidRDefault="00AF6CC3" w:rsidP="0026344C">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D5442F">
        <w:rPr>
          <w:rFonts w:ascii="Times New Roman" w:hAnsi="Times New Roman" w:cs="Times New Roman"/>
          <w:sz w:val="24"/>
          <w:szCs w:val="24"/>
          <w:lang w:val="en-US"/>
        </w:rPr>
        <w:t xml:space="preserve">e work of Evans (1995) on embedded autonomy is at the core of research </w:t>
      </w:r>
      <w:r>
        <w:rPr>
          <w:rFonts w:ascii="Times New Roman" w:hAnsi="Times New Roman" w:cs="Times New Roman"/>
          <w:sz w:val="24"/>
          <w:szCs w:val="24"/>
          <w:lang w:val="en-US"/>
        </w:rPr>
        <w:t>o</w:t>
      </w:r>
      <w:r w:rsidR="00D5442F">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9635E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embedded state, </w:t>
      </w:r>
      <w:r w:rsidR="00D5442F">
        <w:rPr>
          <w:rFonts w:ascii="Times New Roman" w:hAnsi="Times New Roman" w:cs="Times New Roman"/>
          <w:sz w:val="24"/>
          <w:szCs w:val="24"/>
          <w:lang w:val="en-US"/>
        </w:rPr>
        <w:t>which</w:t>
      </w:r>
      <w:r>
        <w:rPr>
          <w:rFonts w:ascii="Times New Roman" w:hAnsi="Times New Roman" w:cs="Times New Roman"/>
          <w:sz w:val="24"/>
          <w:szCs w:val="24"/>
          <w:lang w:val="en-US"/>
        </w:rPr>
        <w:t xml:space="preserve"> aims to capture the interaction between organizational cultures within government and its relationships with the outside world (Jacobsson et al 2015).</w:t>
      </w:r>
      <w:r w:rsidR="00D5442F">
        <w:rPr>
          <w:rFonts w:ascii="Times New Roman" w:hAnsi="Times New Roman" w:cs="Times New Roman"/>
          <w:sz w:val="24"/>
          <w:szCs w:val="24"/>
          <w:lang w:val="en-US"/>
        </w:rPr>
        <w:t xml:space="preserve"> </w:t>
      </w:r>
      <w:r w:rsidR="009A50E6">
        <w:rPr>
          <w:rFonts w:ascii="Times New Roman" w:hAnsi="Times New Roman" w:cs="Times New Roman"/>
          <w:sz w:val="24"/>
          <w:szCs w:val="24"/>
          <w:lang w:val="en-US"/>
        </w:rPr>
        <w:t>T</w:t>
      </w:r>
      <w:r w:rsidR="00E2707C" w:rsidRPr="0055708F">
        <w:rPr>
          <w:rFonts w:ascii="Times New Roman" w:hAnsi="Times New Roman" w:cs="Times New Roman"/>
          <w:sz w:val="24"/>
          <w:szCs w:val="24"/>
          <w:lang w:val="en-US"/>
        </w:rPr>
        <w:t>he concept of the embedded sta</w:t>
      </w:r>
      <w:r w:rsidR="00172895" w:rsidRPr="0055708F">
        <w:rPr>
          <w:rFonts w:ascii="Times New Roman" w:hAnsi="Times New Roman" w:cs="Times New Roman"/>
          <w:sz w:val="24"/>
          <w:szCs w:val="24"/>
          <w:lang w:val="en-US"/>
        </w:rPr>
        <w:t>te can be deployed either as a research tool or as a normative guide</w:t>
      </w:r>
      <w:r w:rsidR="00E2707C" w:rsidRPr="0055708F">
        <w:rPr>
          <w:rFonts w:ascii="Times New Roman" w:hAnsi="Times New Roman" w:cs="Times New Roman"/>
          <w:sz w:val="24"/>
          <w:szCs w:val="24"/>
          <w:lang w:val="en-US"/>
        </w:rPr>
        <w:t xml:space="preserve">. </w:t>
      </w:r>
      <w:r w:rsidR="009A50E6">
        <w:rPr>
          <w:rFonts w:ascii="Times New Roman" w:hAnsi="Times New Roman" w:cs="Times New Roman"/>
          <w:sz w:val="24"/>
          <w:szCs w:val="24"/>
          <w:lang w:val="en-US"/>
        </w:rPr>
        <w:t>When applied as a research tool</w:t>
      </w:r>
      <w:r w:rsidR="007C0024">
        <w:rPr>
          <w:rFonts w:ascii="Times New Roman" w:hAnsi="Times New Roman" w:cs="Times New Roman"/>
          <w:sz w:val="24"/>
          <w:szCs w:val="24"/>
          <w:lang w:val="en-US"/>
        </w:rPr>
        <w:t>,</w:t>
      </w:r>
      <w:r w:rsidR="009A50E6">
        <w:rPr>
          <w:rFonts w:ascii="Times New Roman" w:hAnsi="Times New Roman" w:cs="Times New Roman"/>
          <w:sz w:val="24"/>
          <w:szCs w:val="24"/>
          <w:lang w:val="en-US"/>
        </w:rPr>
        <w:t xml:space="preserve"> it may describe </w:t>
      </w:r>
      <w:r w:rsidR="00E2707C" w:rsidRPr="0055708F">
        <w:rPr>
          <w:rFonts w:ascii="Times New Roman" w:hAnsi="Times New Roman" w:cs="Times New Roman"/>
          <w:sz w:val="24"/>
          <w:szCs w:val="24"/>
          <w:lang w:val="en-US"/>
        </w:rPr>
        <w:t xml:space="preserve">the actual functioning of </w:t>
      </w:r>
      <w:r w:rsidR="00645E57" w:rsidRPr="0055708F">
        <w:rPr>
          <w:rFonts w:ascii="Times New Roman" w:hAnsi="Times New Roman" w:cs="Times New Roman"/>
          <w:sz w:val="24"/>
          <w:szCs w:val="24"/>
          <w:lang w:val="en-US"/>
        </w:rPr>
        <w:t>a</w:t>
      </w:r>
      <w:r w:rsidR="00E2707C" w:rsidRPr="0055708F">
        <w:rPr>
          <w:rFonts w:ascii="Times New Roman" w:hAnsi="Times New Roman" w:cs="Times New Roman"/>
          <w:sz w:val="24"/>
          <w:szCs w:val="24"/>
          <w:lang w:val="en-US"/>
        </w:rPr>
        <w:t xml:space="preserve"> state, comparing its internal organizational logic and structure with the relationships established with external stakeholders. </w:t>
      </w:r>
      <w:r w:rsidR="00172895" w:rsidRPr="0055708F">
        <w:rPr>
          <w:rFonts w:ascii="Times New Roman" w:hAnsi="Times New Roman" w:cs="Times New Roman"/>
          <w:sz w:val="24"/>
          <w:szCs w:val="24"/>
          <w:lang w:val="en-US"/>
        </w:rPr>
        <w:t xml:space="preserve">In this sense, embeddedness refers to the porous boundaries of the state and the dynamic interaction between its internal resources and its networking practices. </w:t>
      </w:r>
    </w:p>
    <w:p w14:paraId="5A3EC458" w14:textId="5473341B" w:rsidR="00645E57" w:rsidRDefault="006C1EE1" w:rsidP="00D5442F">
      <w:pPr>
        <w:spacing w:after="120" w:line="480" w:lineRule="auto"/>
        <w:jc w:val="both"/>
        <w:rPr>
          <w:rFonts w:ascii="Times New Roman" w:hAnsi="Times New Roman" w:cs="Times New Roman"/>
          <w:sz w:val="24"/>
          <w:szCs w:val="24"/>
          <w:lang w:val="en-US"/>
        </w:rPr>
      </w:pPr>
      <w:r w:rsidRPr="006D501E">
        <w:rPr>
          <w:rFonts w:ascii="Times New Roman" w:hAnsi="Times New Roman" w:cs="Times New Roman"/>
          <w:sz w:val="24"/>
          <w:szCs w:val="24"/>
          <w:lang w:val="en-US"/>
        </w:rPr>
        <w:t>In the</w:t>
      </w:r>
      <w:r w:rsidR="002D022F">
        <w:rPr>
          <w:rFonts w:ascii="Times New Roman" w:hAnsi="Times New Roman" w:cs="Times New Roman"/>
          <w:sz w:val="24"/>
          <w:szCs w:val="24"/>
          <w:lang w:val="en-US"/>
        </w:rPr>
        <w:t xml:space="preserve"> normative version of the</w:t>
      </w:r>
      <w:r w:rsidRPr="006D501E">
        <w:rPr>
          <w:rFonts w:ascii="Times New Roman" w:hAnsi="Times New Roman" w:cs="Times New Roman"/>
          <w:sz w:val="24"/>
          <w:szCs w:val="24"/>
          <w:lang w:val="en-US"/>
        </w:rPr>
        <w:t xml:space="preserve"> embedded </w:t>
      </w:r>
      <w:r w:rsidR="002D022F" w:rsidRPr="006D501E">
        <w:rPr>
          <w:rFonts w:ascii="Times New Roman" w:hAnsi="Times New Roman" w:cs="Times New Roman"/>
          <w:sz w:val="24"/>
          <w:szCs w:val="24"/>
          <w:lang w:val="en-US"/>
        </w:rPr>
        <w:t>mode</w:t>
      </w:r>
      <w:r w:rsidR="002D022F">
        <w:rPr>
          <w:rFonts w:ascii="Times New Roman" w:hAnsi="Times New Roman" w:cs="Times New Roman"/>
          <w:sz w:val="24"/>
          <w:szCs w:val="24"/>
          <w:lang w:val="en-US"/>
        </w:rPr>
        <w:t xml:space="preserve"> which we are using here</w:t>
      </w:r>
      <w:r w:rsidRPr="006D501E">
        <w:rPr>
          <w:rFonts w:ascii="Times New Roman" w:hAnsi="Times New Roman" w:cs="Times New Roman"/>
          <w:sz w:val="24"/>
          <w:szCs w:val="24"/>
          <w:lang w:val="en-US"/>
        </w:rPr>
        <w:t>,</w:t>
      </w:r>
      <w:r w:rsidR="00645E57">
        <w:rPr>
          <w:rFonts w:ascii="Times New Roman" w:hAnsi="Times New Roman" w:cs="Times New Roman"/>
          <w:sz w:val="24"/>
          <w:szCs w:val="24"/>
          <w:lang w:val="en-US"/>
        </w:rPr>
        <w:t xml:space="preserve"> the argument is that the state has a role to play in achieving economic or social progress, for example through its capacity to stimulate processes of ‘self-discovery’ (Hausmann and Rodrik 2003). These processes refer to incentives created by the state to help find new </w:t>
      </w:r>
      <w:r w:rsidR="00972CF4">
        <w:rPr>
          <w:rFonts w:ascii="Times New Roman" w:hAnsi="Times New Roman" w:cs="Times New Roman"/>
          <w:sz w:val="24"/>
          <w:szCs w:val="24"/>
          <w:lang w:val="en-US"/>
        </w:rPr>
        <w:t xml:space="preserve">possibilities and </w:t>
      </w:r>
      <w:r w:rsidR="009A50E6">
        <w:rPr>
          <w:rFonts w:ascii="Times New Roman" w:hAnsi="Times New Roman" w:cs="Times New Roman"/>
          <w:sz w:val="24"/>
          <w:szCs w:val="24"/>
          <w:lang w:val="en-US"/>
        </w:rPr>
        <w:t>solutions</w:t>
      </w:r>
      <w:r w:rsidR="00645E57">
        <w:rPr>
          <w:rFonts w:ascii="Times New Roman" w:hAnsi="Times New Roman" w:cs="Times New Roman"/>
          <w:sz w:val="24"/>
          <w:szCs w:val="24"/>
          <w:lang w:val="en-US"/>
        </w:rPr>
        <w:t xml:space="preserve"> which have not yet been revealed.</w:t>
      </w:r>
      <w:r w:rsidRPr="006D501E">
        <w:rPr>
          <w:rFonts w:ascii="Times New Roman" w:hAnsi="Times New Roman" w:cs="Times New Roman"/>
          <w:sz w:val="24"/>
          <w:szCs w:val="24"/>
          <w:lang w:val="en-US"/>
        </w:rPr>
        <w:t xml:space="preserve"> </w:t>
      </w:r>
      <w:r w:rsidR="00645E57">
        <w:rPr>
          <w:rFonts w:ascii="Times New Roman" w:hAnsi="Times New Roman" w:cs="Times New Roman"/>
          <w:sz w:val="24"/>
          <w:szCs w:val="24"/>
          <w:lang w:val="en-US"/>
        </w:rPr>
        <w:t>It does so by acting as</w:t>
      </w:r>
      <w:r w:rsidRPr="006D501E">
        <w:rPr>
          <w:rFonts w:ascii="Times New Roman" w:hAnsi="Times New Roman" w:cs="Times New Roman"/>
          <w:sz w:val="24"/>
          <w:szCs w:val="24"/>
          <w:lang w:val="en-US"/>
        </w:rPr>
        <w:t xml:space="preserve"> a co-learner and its contribution depends on</w:t>
      </w:r>
      <w:r w:rsidR="000D0033" w:rsidRPr="006D501E">
        <w:rPr>
          <w:rFonts w:ascii="Times New Roman" w:hAnsi="Times New Roman" w:cs="Times New Roman"/>
          <w:sz w:val="24"/>
          <w:szCs w:val="24"/>
          <w:lang w:val="en-US"/>
        </w:rPr>
        <w:t xml:space="preserve"> its problem-solving </w:t>
      </w:r>
      <w:r w:rsidR="003A042C">
        <w:rPr>
          <w:rFonts w:ascii="Times New Roman" w:hAnsi="Times New Roman" w:cs="Times New Roman"/>
          <w:sz w:val="24"/>
          <w:szCs w:val="24"/>
          <w:lang w:val="en-US"/>
        </w:rPr>
        <w:t xml:space="preserve">capabilities and </w:t>
      </w:r>
      <w:r w:rsidR="000D0033" w:rsidRPr="006D501E">
        <w:rPr>
          <w:rFonts w:ascii="Times New Roman" w:hAnsi="Times New Roman" w:cs="Times New Roman"/>
          <w:sz w:val="24"/>
          <w:szCs w:val="24"/>
          <w:lang w:val="en-US"/>
        </w:rPr>
        <w:t>competenc</w:t>
      </w:r>
      <w:r w:rsidR="003A042C">
        <w:rPr>
          <w:rFonts w:ascii="Times New Roman" w:hAnsi="Times New Roman" w:cs="Times New Roman"/>
          <w:sz w:val="24"/>
          <w:szCs w:val="24"/>
          <w:lang w:val="en-US"/>
        </w:rPr>
        <w:t>ies</w:t>
      </w:r>
      <w:r w:rsidR="000D0033" w:rsidRPr="006D501E">
        <w:rPr>
          <w:rFonts w:ascii="Times New Roman" w:hAnsi="Times New Roman" w:cs="Times New Roman"/>
          <w:sz w:val="24"/>
          <w:szCs w:val="24"/>
          <w:lang w:val="en-US"/>
        </w:rPr>
        <w:t>.</w:t>
      </w:r>
      <w:r w:rsidR="00D5442F">
        <w:rPr>
          <w:rFonts w:ascii="Times New Roman" w:hAnsi="Times New Roman" w:cs="Times New Roman"/>
          <w:sz w:val="24"/>
          <w:szCs w:val="24"/>
          <w:lang w:val="en-US"/>
        </w:rPr>
        <w:t xml:space="preserve"> </w:t>
      </w:r>
      <w:r w:rsidR="00645E57">
        <w:rPr>
          <w:rFonts w:ascii="Times New Roman" w:hAnsi="Times New Roman" w:cs="Times New Roman"/>
          <w:sz w:val="24"/>
          <w:szCs w:val="24"/>
          <w:lang w:val="en-US"/>
        </w:rPr>
        <w:t>The embedded state</w:t>
      </w:r>
      <w:r w:rsidR="00D5442F">
        <w:rPr>
          <w:rFonts w:ascii="Times New Roman" w:hAnsi="Times New Roman" w:cs="Times New Roman"/>
          <w:sz w:val="24"/>
          <w:szCs w:val="24"/>
          <w:lang w:val="en-US"/>
        </w:rPr>
        <w:t xml:space="preserve"> stands in</w:t>
      </w:r>
      <w:r w:rsidR="00D5442F" w:rsidRPr="006D501E">
        <w:rPr>
          <w:rFonts w:ascii="Times New Roman" w:hAnsi="Times New Roman" w:cs="Times New Roman"/>
          <w:sz w:val="24"/>
          <w:szCs w:val="24"/>
          <w:lang w:val="en-US"/>
        </w:rPr>
        <w:t xml:space="preserve"> contrast to the</w:t>
      </w:r>
      <w:r w:rsidR="00645E57">
        <w:rPr>
          <w:rFonts w:ascii="Times New Roman" w:hAnsi="Times New Roman" w:cs="Times New Roman"/>
          <w:sz w:val="24"/>
          <w:szCs w:val="24"/>
          <w:lang w:val="en-US"/>
        </w:rPr>
        <w:t xml:space="preserve"> concept of the</w:t>
      </w:r>
      <w:r w:rsidR="00D5442F" w:rsidRPr="006D501E">
        <w:rPr>
          <w:rFonts w:ascii="Times New Roman" w:hAnsi="Times New Roman" w:cs="Times New Roman"/>
          <w:sz w:val="24"/>
          <w:szCs w:val="24"/>
          <w:lang w:val="en-US"/>
        </w:rPr>
        <w:t xml:space="preserve"> neoliberal </w:t>
      </w:r>
      <w:r w:rsidR="00645E57">
        <w:rPr>
          <w:rFonts w:ascii="Times New Roman" w:hAnsi="Times New Roman" w:cs="Times New Roman"/>
          <w:sz w:val="24"/>
          <w:szCs w:val="24"/>
          <w:lang w:val="en-US"/>
        </w:rPr>
        <w:t>state</w:t>
      </w:r>
      <w:r w:rsidR="00D5442F" w:rsidRPr="006D501E">
        <w:rPr>
          <w:rFonts w:ascii="Times New Roman" w:hAnsi="Times New Roman" w:cs="Times New Roman"/>
          <w:sz w:val="24"/>
          <w:szCs w:val="24"/>
          <w:lang w:val="en-US"/>
        </w:rPr>
        <w:t xml:space="preserve">, which stresses an arm’s length relationship between </w:t>
      </w:r>
      <w:r w:rsidR="00D5442F">
        <w:rPr>
          <w:rFonts w:ascii="Times New Roman" w:hAnsi="Times New Roman" w:cs="Times New Roman"/>
          <w:sz w:val="24"/>
          <w:szCs w:val="24"/>
          <w:lang w:val="en-US"/>
        </w:rPr>
        <w:t xml:space="preserve">the </w:t>
      </w:r>
      <w:r w:rsidR="00D5442F" w:rsidRPr="006D501E">
        <w:rPr>
          <w:rFonts w:ascii="Times New Roman" w:hAnsi="Times New Roman" w:cs="Times New Roman"/>
          <w:sz w:val="24"/>
          <w:szCs w:val="24"/>
          <w:lang w:val="en-US"/>
        </w:rPr>
        <w:t xml:space="preserve">state and </w:t>
      </w:r>
      <w:r w:rsidR="00D5442F">
        <w:rPr>
          <w:rFonts w:ascii="Times New Roman" w:hAnsi="Times New Roman" w:cs="Times New Roman"/>
          <w:sz w:val="24"/>
          <w:szCs w:val="24"/>
          <w:lang w:val="en-US"/>
        </w:rPr>
        <w:t xml:space="preserve">other </w:t>
      </w:r>
      <w:r w:rsidR="00D5442F" w:rsidRPr="006D501E">
        <w:rPr>
          <w:rFonts w:ascii="Times New Roman" w:hAnsi="Times New Roman" w:cs="Times New Roman"/>
          <w:sz w:val="24"/>
          <w:szCs w:val="24"/>
          <w:lang w:val="en-US"/>
        </w:rPr>
        <w:t>socio-economic actors</w:t>
      </w:r>
      <w:r w:rsidR="00D5442F">
        <w:rPr>
          <w:rFonts w:ascii="Times New Roman" w:hAnsi="Times New Roman" w:cs="Times New Roman"/>
          <w:sz w:val="24"/>
          <w:szCs w:val="24"/>
          <w:lang w:val="en-US"/>
        </w:rPr>
        <w:t xml:space="preserve">. But it </w:t>
      </w:r>
      <w:r w:rsidR="00645E57">
        <w:rPr>
          <w:rFonts w:ascii="Times New Roman" w:hAnsi="Times New Roman" w:cs="Times New Roman"/>
          <w:sz w:val="24"/>
          <w:szCs w:val="24"/>
          <w:lang w:val="en-US"/>
        </w:rPr>
        <w:t xml:space="preserve">is </w:t>
      </w:r>
      <w:r w:rsidR="00D5442F">
        <w:rPr>
          <w:rFonts w:ascii="Times New Roman" w:hAnsi="Times New Roman" w:cs="Times New Roman"/>
          <w:sz w:val="24"/>
          <w:szCs w:val="24"/>
          <w:lang w:val="en-US"/>
        </w:rPr>
        <w:t xml:space="preserve">also </w:t>
      </w:r>
      <w:r w:rsidR="00645E57">
        <w:rPr>
          <w:rFonts w:ascii="Times New Roman" w:hAnsi="Times New Roman" w:cs="Times New Roman"/>
          <w:sz w:val="24"/>
          <w:szCs w:val="24"/>
          <w:lang w:val="en-US"/>
        </w:rPr>
        <w:t xml:space="preserve">in </w:t>
      </w:r>
      <w:r w:rsidR="00D5442F">
        <w:rPr>
          <w:rFonts w:ascii="Times New Roman" w:hAnsi="Times New Roman" w:cs="Times New Roman"/>
          <w:sz w:val="24"/>
          <w:szCs w:val="24"/>
          <w:lang w:val="en-US"/>
        </w:rPr>
        <w:t xml:space="preserve">contrast with </w:t>
      </w:r>
      <w:r w:rsidR="00D5442F" w:rsidRPr="006D501E">
        <w:rPr>
          <w:rFonts w:ascii="Times New Roman" w:hAnsi="Times New Roman" w:cs="Times New Roman"/>
          <w:sz w:val="24"/>
          <w:szCs w:val="24"/>
          <w:lang w:val="en-US"/>
        </w:rPr>
        <w:t xml:space="preserve">dirigiste </w:t>
      </w:r>
      <w:r w:rsidR="00645E57">
        <w:rPr>
          <w:rFonts w:ascii="Times New Roman" w:hAnsi="Times New Roman" w:cs="Times New Roman"/>
          <w:sz w:val="24"/>
          <w:szCs w:val="24"/>
          <w:lang w:val="en-US"/>
        </w:rPr>
        <w:lastRenderedPageBreak/>
        <w:t>approaches</w:t>
      </w:r>
      <w:r w:rsidR="007C0024">
        <w:rPr>
          <w:rFonts w:ascii="Times New Roman" w:hAnsi="Times New Roman" w:cs="Times New Roman"/>
          <w:sz w:val="24"/>
          <w:szCs w:val="24"/>
          <w:lang w:val="en-US"/>
        </w:rPr>
        <w:t>, which underlie</w:t>
      </w:r>
      <w:r w:rsidR="00D5442F" w:rsidRPr="006D501E">
        <w:rPr>
          <w:rFonts w:ascii="Times New Roman" w:hAnsi="Times New Roman" w:cs="Times New Roman"/>
          <w:sz w:val="24"/>
          <w:szCs w:val="24"/>
          <w:lang w:val="en-US"/>
        </w:rPr>
        <w:t xml:space="preserve"> the “entrepreneurial sta</w:t>
      </w:r>
      <w:r w:rsidR="007C0024">
        <w:rPr>
          <w:rFonts w:ascii="Times New Roman" w:hAnsi="Times New Roman" w:cs="Times New Roman"/>
          <w:sz w:val="24"/>
          <w:szCs w:val="24"/>
          <w:lang w:val="en-US"/>
        </w:rPr>
        <w:t>te” discourse and which stress</w:t>
      </w:r>
      <w:r w:rsidR="00D5442F" w:rsidRPr="006D501E">
        <w:rPr>
          <w:rFonts w:ascii="Times New Roman" w:hAnsi="Times New Roman" w:cs="Times New Roman"/>
          <w:sz w:val="24"/>
          <w:szCs w:val="24"/>
          <w:lang w:val="en-US"/>
        </w:rPr>
        <w:t xml:space="preserve"> the role of the state as a more autonomous actor</w:t>
      </w:r>
      <w:r w:rsidR="00D5442F">
        <w:rPr>
          <w:rFonts w:ascii="Times New Roman" w:hAnsi="Times New Roman" w:cs="Times New Roman"/>
          <w:sz w:val="24"/>
          <w:szCs w:val="24"/>
          <w:lang w:val="en-US"/>
        </w:rPr>
        <w:t xml:space="preserve">. </w:t>
      </w:r>
    </w:p>
    <w:p w14:paraId="7AD7E916" w14:textId="625B35CA" w:rsidR="006C1EE1" w:rsidRDefault="007C0024" w:rsidP="006A4FD5">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terms of problem-</w:t>
      </w:r>
      <w:r w:rsidR="00A114BA">
        <w:rPr>
          <w:rFonts w:ascii="Times New Roman" w:hAnsi="Times New Roman" w:cs="Times New Roman"/>
          <w:sz w:val="24"/>
          <w:szCs w:val="24"/>
          <w:lang w:val="en-US"/>
        </w:rPr>
        <w:t>solving, a policy</w:t>
      </w:r>
      <w:r w:rsidR="00A114BA" w:rsidRPr="00A114BA">
        <w:rPr>
          <w:rFonts w:ascii="Times New Roman" w:hAnsi="Times New Roman" w:cs="Times New Roman"/>
          <w:sz w:val="24"/>
          <w:szCs w:val="24"/>
          <w:lang w:val="en-US"/>
        </w:rPr>
        <w:t xml:space="preserve"> perspective</w:t>
      </w:r>
      <w:r w:rsidR="00645E57">
        <w:rPr>
          <w:rFonts w:ascii="Times New Roman" w:hAnsi="Times New Roman" w:cs="Times New Roman"/>
          <w:sz w:val="24"/>
          <w:szCs w:val="24"/>
          <w:lang w:val="en-US"/>
        </w:rPr>
        <w:t xml:space="preserve"> drawing </w:t>
      </w:r>
      <w:r w:rsidR="009D7FFD">
        <w:rPr>
          <w:rFonts w:ascii="Times New Roman" w:hAnsi="Times New Roman" w:cs="Times New Roman"/>
          <w:sz w:val="24"/>
          <w:szCs w:val="24"/>
          <w:lang w:val="en-US"/>
        </w:rPr>
        <w:t>on the embedded state as a tool</w:t>
      </w:r>
      <w:r w:rsidR="00645E57">
        <w:rPr>
          <w:rFonts w:ascii="Times New Roman" w:hAnsi="Times New Roman" w:cs="Times New Roman"/>
          <w:sz w:val="24"/>
          <w:szCs w:val="24"/>
          <w:lang w:val="en-US"/>
        </w:rPr>
        <w:t xml:space="preserve"> to address system innovation</w:t>
      </w:r>
      <w:r w:rsidR="00A114BA" w:rsidRPr="00A114BA">
        <w:rPr>
          <w:rFonts w:ascii="Times New Roman" w:hAnsi="Times New Roman" w:cs="Times New Roman"/>
          <w:sz w:val="24"/>
          <w:szCs w:val="24"/>
          <w:lang w:val="en-US"/>
        </w:rPr>
        <w:t xml:space="preserve"> goes beyond the neoclassical economics rationale that policy intervention is legitimate </w:t>
      </w:r>
      <w:r w:rsidR="00645E57">
        <w:rPr>
          <w:rFonts w:ascii="Times New Roman" w:hAnsi="Times New Roman" w:cs="Times New Roman"/>
          <w:sz w:val="24"/>
          <w:szCs w:val="24"/>
          <w:lang w:val="en-US"/>
        </w:rPr>
        <w:t xml:space="preserve">only in situation of </w:t>
      </w:r>
      <w:r w:rsidR="00A114BA" w:rsidRPr="00A114BA">
        <w:rPr>
          <w:rFonts w:ascii="Times New Roman" w:hAnsi="Times New Roman" w:cs="Times New Roman"/>
          <w:sz w:val="24"/>
          <w:szCs w:val="24"/>
          <w:lang w:val="en-US"/>
        </w:rPr>
        <w:t xml:space="preserve">market failure. Rather, it builds on the notion that </w:t>
      </w:r>
      <w:r w:rsidR="00E17E03">
        <w:rPr>
          <w:rFonts w:ascii="Times New Roman" w:hAnsi="Times New Roman" w:cs="Times New Roman"/>
          <w:sz w:val="24"/>
          <w:szCs w:val="24"/>
          <w:lang w:val="en-US"/>
        </w:rPr>
        <w:t>policy</w:t>
      </w:r>
      <w:r w:rsidR="00E17E03" w:rsidRPr="00A114BA">
        <w:rPr>
          <w:rFonts w:ascii="Times New Roman" w:hAnsi="Times New Roman" w:cs="Times New Roman"/>
          <w:sz w:val="24"/>
          <w:szCs w:val="24"/>
          <w:lang w:val="en-US"/>
        </w:rPr>
        <w:t xml:space="preserve"> </w:t>
      </w:r>
      <w:r w:rsidR="00A114BA" w:rsidRPr="00A114BA">
        <w:rPr>
          <w:rFonts w:ascii="Times New Roman" w:hAnsi="Times New Roman" w:cs="Times New Roman"/>
          <w:sz w:val="24"/>
          <w:szCs w:val="24"/>
          <w:lang w:val="en-US"/>
        </w:rPr>
        <w:t>intervention is legitimate and needed if the complex interactions that take p</w:t>
      </w:r>
      <w:r>
        <w:rPr>
          <w:rFonts w:ascii="Times New Roman" w:hAnsi="Times New Roman" w:cs="Times New Roman"/>
          <w:sz w:val="24"/>
          <w:szCs w:val="24"/>
          <w:lang w:val="en-US"/>
        </w:rPr>
        <w:t>lace among the different organiz</w:t>
      </w:r>
      <w:r w:rsidR="00A114BA" w:rsidRPr="00A114BA">
        <w:rPr>
          <w:rFonts w:ascii="Times New Roman" w:hAnsi="Times New Roman" w:cs="Times New Roman"/>
          <w:sz w:val="24"/>
          <w:szCs w:val="24"/>
          <w:lang w:val="en-US"/>
        </w:rPr>
        <w:t>ations and institutions involved in innovation do not func</w:t>
      </w:r>
      <w:r w:rsidR="00782B3C">
        <w:rPr>
          <w:rFonts w:ascii="Times New Roman" w:hAnsi="Times New Roman" w:cs="Times New Roman"/>
          <w:sz w:val="24"/>
          <w:szCs w:val="24"/>
          <w:lang w:val="en-US"/>
        </w:rPr>
        <w:t>tion effectively (Laranja et al</w:t>
      </w:r>
      <w:r w:rsidR="00A114BA" w:rsidRPr="00A114BA">
        <w:rPr>
          <w:rFonts w:ascii="Times New Roman" w:hAnsi="Times New Roman" w:cs="Times New Roman"/>
          <w:sz w:val="24"/>
          <w:szCs w:val="24"/>
          <w:lang w:val="en-US"/>
        </w:rPr>
        <w:t xml:space="preserve"> 2008). </w:t>
      </w:r>
      <w:r w:rsidR="00972CF4">
        <w:rPr>
          <w:rFonts w:ascii="Times New Roman" w:hAnsi="Times New Roman" w:cs="Times New Roman"/>
          <w:sz w:val="24"/>
          <w:szCs w:val="24"/>
          <w:lang w:val="en-US"/>
        </w:rPr>
        <w:t xml:space="preserve">Policies may ensure a sound functioning of innovation systems by </w:t>
      </w:r>
      <w:r w:rsidR="0006608F">
        <w:rPr>
          <w:rFonts w:ascii="Times New Roman" w:hAnsi="Times New Roman" w:cs="Times New Roman"/>
          <w:sz w:val="24"/>
          <w:szCs w:val="24"/>
          <w:lang w:val="en-US"/>
        </w:rPr>
        <w:t>creating and supporting</w:t>
      </w:r>
      <w:r w:rsidR="00972CF4">
        <w:rPr>
          <w:rFonts w:ascii="Times New Roman" w:hAnsi="Times New Roman" w:cs="Times New Roman"/>
          <w:sz w:val="24"/>
          <w:szCs w:val="24"/>
          <w:lang w:val="en-US"/>
        </w:rPr>
        <w:t xml:space="preserve"> </w:t>
      </w:r>
      <w:r w:rsidR="0006608F">
        <w:rPr>
          <w:rFonts w:ascii="Times New Roman" w:hAnsi="Times New Roman" w:cs="Times New Roman"/>
          <w:sz w:val="24"/>
          <w:szCs w:val="24"/>
          <w:lang w:val="en-US"/>
        </w:rPr>
        <w:t>infrastructure, institutions, interactions and capabilities (</w:t>
      </w:r>
      <w:r w:rsidR="0006608F" w:rsidRPr="0006608F">
        <w:rPr>
          <w:rFonts w:ascii="Times New Roman" w:hAnsi="Times New Roman" w:cs="Times New Roman"/>
          <w:sz w:val="24"/>
          <w:szCs w:val="24"/>
          <w:lang w:val="en-US"/>
        </w:rPr>
        <w:t xml:space="preserve">Woolthuis </w:t>
      </w:r>
      <w:r w:rsidR="0006608F">
        <w:rPr>
          <w:rFonts w:ascii="Times New Roman" w:hAnsi="Times New Roman" w:cs="Times New Roman"/>
          <w:sz w:val="24"/>
          <w:szCs w:val="24"/>
          <w:lang w:val="en-US"/>
        </w:rPr>
        <w:t>et al 2005)</w:t>
      </w:r>
      <w:r w:rsidR="00972CF4">
        <w:rPr>
          <w:rFonts w:ascii="Times New Roman" w:hAnsi="Times New Roman" w:cs="Times New Roman"/>
          <w:sz w:val="24"/>
          <w:szCs w:val="24"/>
          <w:lang w:val="en-US"/>
        </w:rPr>
        <w:t xml:space="preserve">, </w:t>
      </w:r>
      <w:r w:rsidR="0006608F">
        <w:rPr>
          <w:rFonts w:ascii="Times New Roman" w:hAnsi="Times New Roman" w:cs="Times New Roman"/>
          <w:sz w:val="24"/>
          <w:szCs w:val="24"/>
          <w:lang w:val="en-US"/>
        </w:rPr>
        <w:t xml:space="preserve">or they may be </w:t>
      </w:r>
      <w:r w:rsidR="00717AD3">
        <w:rPr>
          <w:rFonts w:ascii="Times New Roman" w:hAnsi="Times New Roman" w:cs="Times New Roman"/>
          <w:sz w:val="24"/>
          <w:szCs w:val="24"/>
          <w:lang w:val="en-US"/>
        </w:rPr>
        <w:t xml:space="preserve">oriented towards system change in terms of </w:t>
      </w:r>
      <w:r w:rsidR="00A114BA" w:rsidRPr="00A114BA">
        <w:rPr>
          <w:rFonts w:ascii="Times New Roman" w:hAnsi="Times New Roman" w:cs="Times New Roman"/>
          <w:sz w:val="24"/>
          <w:szCs w:val="24"/>
          <w:lang w:val="en-US"/>
        </w:rPr>
        <w:t xml:space="preserve">correcting what Weber and Rohracher </w:t>
      </w:r>
      <w:r w:rsidR="00A114BA">
        <w:rPr>
          <w:rFonts w:ascii="Times New Roman" w:hAnsi="Times New Roman" w:cs="Times New Roman"/>
          <w:sz w:val="24"/>
          <w:szCs w:val="24"/>
          <w:lang w:val="en-US"/>
        </w:rPr>
        <w:t>(2012) call transformational system failures</w:t>
      </w:r>
      <w:r w:rsidR="0072104E">
        <w:rPr>
          <w:rFonts w:ascii="Times New Roman" w:hAnsi="Times New Roman" w:cs="Times New Roman"/>
          <w:sz w:val="24"/>
          <w:szCs w:val="24"/>
          <w:lang w:val="en-US"/>
        </w:rPr>
        <w:t>:</w:t>
      </w:r>
    </w:p>
    <w:p w14:paraId="0A409A9B" w14:textId="77777777" w:rsidR="006C1EE1" w:rsidRPr="006D501E" w:rsidRDefault="007D299C" w:rsidP="00DA712E">
      <w:pPr>
        <w:pStyle w:val="ListParagraph"/>
        <w:numPr>
          <w:ilvl w:val="0"/>
          <w:numId w:val="1"/>
        </w:num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Directionality failure:  </w:t>
      </w:r>
      <w:r w:rsidR="006C1EE1" w:rsidRPr="006D501E">
        <w:rPr>
          <w:rFonts w:ascii="Times New Roman" w:hAnsi="Times New Roman" w:cs="Times New Roman"/>
          <w:sz w:val="24"/>
          <w:szCs w:val="24"/>
          <w:lang w:val="en-US"/>
        </w:rPr>
        <w:t>Lack of a shared vision/goal, and lack of coordination among actors.</w:t>
      </w:r>
    </w:p>
    <w:p w14:paraId="6B77DDE9" w14:textId="602B73A0" w:rsidR="006C1EE1" w:rsidRPr="006D501E" w:rsidRDefault="006C1EE1" w:rsidP="00DA712E">
      <w:pPr>
        <w:pStyle w:val="ListParagraph"/>
        <w:numPr>
          <w:ilvl w:val="0"/>
          <w:numId w:val="1"/>
        </w:numPr>
        <w:spacing w:after="120" w:line="480" w:lineRule="auto"/>
        <w:rPr>
          <w:rFonts w:ascii="Times New Roman" w:hAnsi="Times New Roman" w:cs="Times New Roman"/>
          <w:sz w:val="24"/>
          <w:szCs w:val="24"/>
          <w:lang w:val="en-US"/>
        </w:rPr>
      </w:pPr>
      <w:r w:rsidRPr="006D501E">
        <w:rPr>
          <w:rFonts w:ascii="Times New Roman" w:hAnsi="Times New Roman" w:cs="Times New Roman"/>
          <w:sz w:val="24"/>
          <w:szCs w:val="24"/>
          <w:lang w:val="en-US"/>
        </w:rPr>
        <w:t xml:space="preserve">Demand articulation failure: Demand restricted by insufficient information about user needs, a lack of public procurement </w:t>
      </w:r>
      <w:r w:rsidR="003F7C03" w:rsidRPr="006D501E">
        <w:rPr>
          <w:rFonts w:ascii="Times New Roman" w:hAnsi="Times New Roman" w:cs="Times New Roman"/>
          <w:sz w:val="24"/>
          <w:szCs w:val="24"/>
          <w:lang w:val="en-US"/>
        </w:rPr>
        <w:t>signal</w:t>
      </w:r>
      <w:r w:rsidR="007C0024">
        <w:rPr>
          <w:rFonts w:ascii="Times New Roman" w:hAnsi="Times New Roman" w:cs="Times New Roman"/>
          <w:sz w:val="24"/>
          <w:szCs w:val="24"/>
          <w:lang w:val="en-US"/>
        </w:rPr>
        <w:t>l</w:t>
      </w:r>
      <w:r w:rsidR="003F7C03" w:rsidRPr="006D501E">
        <w:rPr>
          <w:rFonts w:ascii="Times New Roman" w:hAnsi="Times New Roman" w:cs="Times New Roman"/>
          <w:sz w:val="24"/>
          <w:szCs w:val="24"/>
          <w:lang w:val="en-US"/>
        </w:rPr>
        <w:t>ing</w:t>
      </w:r>
      <w:r w:rsidRPr="006D501E">
        <w:rPr>
          <w:rFonts w:ascii="Times New Roman" w:hAnsi="Times New Roman" w:cs="Times New Roman"/>
          <w:sz w:val="24"/>
          <w:szCs w:val="24"/>
          <w:lang w:val="en-US"/>
        </w:rPr>
        <w:t xml:space="preserve"> to shape demand, and a ‘lack of demand articulation capabilities’ (the ability to signal the level/nature of demand)</w:t>
      </w:r>
    </w:p>
    <w:p w14:paraId="708916EC" w14:textId="77777777" w:rsidR="006C1EE1" w:rsidRPr="006D501E" w:rsidRDefault="006C1EE1" w:rsidP="00DA712E">
      <w:pPr>
        <w:pStyle w:val="ListParagraph"/>
        <w:numPr>
          <w:ilvl w:val="0"/>
          <w:numId w:val="1"/>
        </w:numPr>
        <w:spacing w:after="120" w:line="480" w:lineRule="auto"/>
        <w:rPr>
          <w:rFonts w:ascii="Times New Roman" w:hAnsi="Times New Roman" w:cs="Times New Roman"/>
          <w:sz w:val="24"/>
          <w:szCs w:val="24"/>
          <w:lang w:val="en-US"/>
        </w:rPr>
      </w:pPr>
      <w:r w:rsidRPr="006D501E">
        <w:rPr>
          <w:rFonts w:ascii="Times New Roman" w:hAnsi="Times New Roman" w:cs="Times New Roman"/>
          <w:sz w:val="24"/>
          <w:szCs w:val="24"/>
          <w:lang w:val="en-US"/>
        </w:rPr>
        <w:t>Policy coordination failure: Lack of coordination between policy actors at different levels.</w:t>
      </w:r>
    </w:p>
    <w:p w14:paraId="56414F7F" w14:textId="77777777" w:rsidR="000D0033" w:rsidRDefault="006C1EE1" w:rsidP="00DA712E">
      <w:pPr>
        <w:pStyle w:val="ListParagraph"/>
        <w:numPr>
          <w:ilvl w:val="0"/>
          <w:numId w:val="1"/>
        </w:numPr>
        <w:spacing w:after="120" w:line="480" w:lineRule="auto"/>
        <w:rPr>
          <w:rFonts w:ascii="Times New Roman" w:hAnsi="Times New Roman" w:cs="Times New Roman"/>
          <w:sz w:val="24"/>
          <w:szCs w:val="24"/>
          <w:lang w:val="en-US"/>
        </w:rPr>
      </w:pPr>
      <w:r w:rsidRPr="006D501E">
        <w:rPr>
          <w:rFonts w:ascii="Times New Roman" w:hAnsi="Times New Roman" w:cs="Times New Roman"/>
          <w:sz w:val="24"/>
          <w:szCs w:val="24"/>
          <w:lang w:val="en-US"/>
        </w:rPr>
        <w:t xml:space="preserve">Reflexivity failure: Lack of monitoring, learning from, openly debating, and consequently adjusting policy support. </w:t>
      </w:r>
    </w:p>
    <w:p w14:paraId="2293AD68" w14:textId="4B36B460" w:rsidR="00BF3964" w:rsidRDefault="007E7097" w:rsidP="006A4FD5">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 far, t</w:t>
      </w:r>
      <w:r w:rsidRPr="007E7097">
        <w:rPr>
          <w:rFonts w:ascii="Times New Roman" w:hAnsi="Times New Roman" w:cs="Times New Roman"/>
          <w:sz w:val="24"/>
          <w:szCs w:val="24"/>
          <w:lang w:val="en-US"/>
        </w:rPr>
        <w:t>hese</w:t>
      </w:r>
      <w:r>
        <w:rPr>
          <w:rFonts w:ascii="Times New Roman" w:hAnsi="Times New Roman" w:cs="Times New Roman"/>
          <w:sz w:val="24"/>
          <w:szCs w:val="24"/>
          <w:lang w:val="en-US"/>
        </w:rPr>
        <w:t xml:space="preserve"> failures</w:t>
      </w:r>
      <w:r w:rsidRPr="007E7097">
        <w:rPr>
          <w:rFonts w:ascii="Times New Roman" w:hAnsi="Times New Roman" w:cs="Times New Roman"/>
          <w:sz w:val="24"/>
          <w:szCs w:val="24"/>
          <w:lang w:val="en-US"/>
        </w:rPr>
        <w:t xml:space="preserve"> </w:t>
      </w:r>
      <w:r w:rsidR="00581FA2">
        <w:rPr>
          <w:rFonts w:ascii="Times New Roman" w:hAnsi="Times New Roman" w:cs="Times New Roman"/>
          <w:sz w:val="24"/>
          <w:szCs w:val="24"/>
          <w:lang w:val="en-US"/>
        </w:rPr>
        <w:t xml:space="preserve">have </w:t>
      </w:r>
      <w:r w:rsidRPr="007E7097">
        <w:rPr>
          <w:rFonts w:ascii="Times New Roman" w:hAnsi="Times New Roman" w:cs="Times New Roman"/>
          <w:sz w:val="24"/>
          <w:szCs w:val="24"/>
          <w:lang w:val="en-US"/>
        </w:rPr>
        <w:t xml:space="preserve">primarily </w:t>
      </w:r>
      <w:r w:rsidR="0010478F">
        <w:rPr>
          <w:rFonts w:ascii="Times New Roman" w:hAnsi="Times New Roman" w:cs="Times New Roman"/>
          <w:sz w:val="24"/>
          <w:szCs w:val="24"/>
          <w:lang w:val="en-US"/>
        </w:rPr>
        <w:t>been</w:t>
      </w:r>
      <w:r w:rsidR="0010478F" w:rsidRPr="007E7097">
        <w:rPr>
          <w:rFonts w:ascii="Times New Roman" w:hAnsi="Times New Roman" w:cs="Times New Roman"/>
          <w:sz w:val="24"/>
          <w:szCs w:val="24"/>
          <w:lang w:val="en-US"/>
        </w:rPr>
        <w:t xml:space="preserve"> </w:t>
      </w:r>
      <w:r w:rsidR="00581FA2">
        <w:rPr>
          <w:rFonts w:ascii="Times New Roman" w:hAnsi="Times New Roman" w:cs="Times New Roman"/>
          <w:sz w:val="24"/>
          <w:szCs w:val="24"/>
          <w:lang w:val="en-US"/>
        </w:rPr>
        <w:t xml:space="preserve">developed and discussed </w:t>
      </w:r>
      <w:r w:rsidR="0010478F">
        <w:rPr>
          <w:rFonts w:ascii="Times New Roman" w:hAnsi="Times New Roman" w:cs="Times New Roman"/>
          <w:sz w:val="24"/>
          <w:szCs w:val="24"/>
          <w:lang w:val="en-US"/>
        </w:rPr>
        <w:t xml:space="preserve">at </w:t>
      </w:r>
      <w:r w:rsidR="00581FA2">
        <w:rPr>
          <w:rFonts w:ascii="Times New Roman" w:hAnsi="Times New Roman" w:cs="Times New Roman"/>
          <w:sz w:val="24"/>
          <w:szCs w:val="24"/>
          <w:lang w:val="en-US"/>
        </w:rPr>
        <w:t xml:space="preserve">a </w:t>
      </w:r>
      <w:r w:rsidRPr="007E7097">
        <w:rPr>
          <w:rFonts w:ascii="Times New Roman" w:hAnsi="Times New Roman" w:cs="Times New Roman"/>
          <w:sz w:val="24"/>
          <w:szCs w:val="24"/>
          <w:lang w:val="en-US"/>
        </w:rPr>
        <w:t xml:space="preserve">conceptual </w:t>
      </w:r>
      <w:r w:rsidR="00581FA2">
        <w:rPr>
          <w:rFonts w:ascii="Times New Roman" w:hAnsi="Times New Roman" w:cs="Times New Roman"/>
          <w:sz w:val="24"/>
          <w:szCs w:val="24"/>
          <w:lang w:val="en-US"/>
        </w:rPr>
        <w:t xml:space="preserve">level yet </w:t>
      </w:r>
      <w:r w:rsidRPr="007E7097">
        <w:rPr>
          <w:rFonts w:ascii="Times New Roman" w:hAnsi="Times New Roman" w:cs="Times New Roman"/>
          <w:sz w:val="24"/>
          <w:szCs w:val="24"/>
          <w:lang w:val="en-US"/>
        </w:rPr>
        <w:t>lack serious and systematic empirical investigation</w:t>
      </w:r>
      <w:r w:rsidR="00581FA2">
        <w:rPr>
          <w:rFonts w:ascii="Times New Roman" w:hAnsi="Times New Roman" w:cs="Times New Roman"/>
          <w:sz w:val="24"/>
          <w:szCs w:val="24"/>
          <w:lang w:val="en-US"/>
        </w:rPr>
        <w:t xml:space="preserve">. This paper examines these transformational system failures by focusing on </w:t>
      </w:r>
      <w:r w:rsidR="00645E57">
        <w:rPr>
          <w:rFonts w:ascii="Times New Roman" w:hAnsi="Times New Roman" w:cs="Times New Roman"/>
          <w:sz w:val="24"/>
          <w:szCs w:val="24"/>
          <w:lang w:val="en-US"/>
        </w:rPr>
        <w:t>national</w:t>
      </w:r>
      <w:r w:rsidR="00581FA2" w:rsidRPr="00581FA2">
        <w:rPr>
          <w:rFonts w:ascii="Times New Roman" w:hAnsi="Times New Roman" w:cs="Times New Roman"/>
          <w:sz w:val="24"/>
          <w:szCs w:val="24"/>
          <w:lang w:val="en-US"/>
        </w:rPr>
        <w:t xml:space="preserve"> conditions and </w:t>
      </w:r>
      <w:r w:rsidR="000F36CA">
        <w:rPr>
          <w:rFonts w:ascii="Times New Roman" w:hAnsi="Times New Roman" w:cs="Times New Roman"/>
          <w:sz w:val="24"/>
          <w:szCs w:val="24"/>
          <w:lang w:val="en-US"/>
        </w:rPr>
        <w:t xml:space="preserve">policy </w:t>
      </w:r>
      <w:r w:rsidR="00581FA2" w:rsidRPr="00581FA2">
        <w:rPr>
          <w:rFonts w:ascii="Times New Roman" w:hAnsi="Times New Roman" w:cs="Times New Roman"/>
          <w:sz w:val="24"/>
          <w:szCs w:val="24"/>
          <w:lang w:val="en-US"/>
        </w:rPr>
        <w:t xml:space="preserve">abilities to respond effectively to the </w:t>
      </w:r>
      <w:r w:rsidR="000F36CA">
        <w:rPr>
          <w:rFonts w:ascii="Times New Roman" w:hAnsi="Times New Roman" w:cs="Times New Roman"/>
          <w:sz w:val="24"/>
          <w:szCs w:val="24"/>
          <w:lang w:val="en-US"/>
        </w:rPr>
        <w:t>challenge of active ageing through assisted living experiments in the UK and Norway.</w:t>
      </w:r>
    </w:p>
    <w:p w14:paraId="16702256" w14:textId="026A691B" w:rsidR="0029476D" w:rsidRDefault="007C0024" w:rsidP="006A4FD5">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Summariz</w:t>
      </w:r>
      <w:r w:rsidR="002D022F">
        <w:rPr>
          <w:rFonts w:ascii="Times New Roman" w:hAnsi="Times New Roman" w:cs="Times New Roman"/>
          <w:sz w:val="24"/>
          <w:szCs w:val="24"/>
          <w:lang w:val="en-US"/>
        </w:rPr>
        <w:t>ing, this paper is conce</w:t>
      </w:r>
      <w:r w:rsidR="00DD7AC7">
        <w:rPr>
          <w:rFonts w:ascii="Times New Roman" w:hAnsi="Times New Roman" w:cs="Times New Roman"/>
          <w:sz w:val="24"/>
          <w:szCs w:val="24"/>
          <w:lang w:val="en-US"/>
        </w:rPr>
        <w:t xml:space="preserve">rned with </w:t>
      </w:r>
      <w:r w:rsidR="002D022F">
        <w:rPr>
          <w:rFonts w:ascii="Times New Roman" w:hAnsi="Times New Roman" w:cs="Times New Roman"/>
          <w:sz w:val="24"/>
          <w:szCs w:val="24"/>
          <w:lang w:val="en-US"/>
        </w:rPr>
        <w:t xml:space="preserve">system innovation, with a specific focus on </w:t>
      </w:r>
      <w:r w:rsidR="001015F7">
        <w:rPr>
          <w:rFonts w:ascii="Times New Roman" w:hAnsi="Times New Roman" w:cs="Times New Roman"/>
          <w:sz w:val="24"/>
          <w:szCs w:val="24"/>
          <w:lang w:val="en-US"/>
        </w:rPr>
        <w:t>assisted living technologies</w:t>
      </w:r>
      <w:r w:rsidR="00DD7AC7">
        <w:rPr>
          <w:rFonts w:ascii="Times New Roman" w:hAnsi="Times New Roman" w:cs="Times New Roman"/>
          <w:sz w:val="24"/>
          <w:szCs w:val="24"/>
          <w:lang w:val="en-US"/>
        </w:rPr>
        <w:t xml:space="preserve">. Using the concept of </w:t>
      </w:r>
      <w:r>
        <w:rPr>
          <w:rFonts w:ascii="Times New Roman" w:hAnsi="Times New Roman" w:cs="Times New Roman"/>
          <w:sz w:val="24"/>
          <w:szCs w:val="24"/>
          <w:lang w:val="en-US"/>
        </w:rPr>
        <w:t>SNM, our goal is to analys</w:t>
      </w:r>
      <w:r w:rsidR="00DD7AC7">
        <w:rPr>
          <w:rFonts w:ascii="Times New Roman" w:hAnsi="Times New Roman" w:cs="Times New Roman"/>
          <w:sz w:val="24"/>
          <w:szCs w:val="24"/>
          <w:lang w:val="en-US"/>
        </w:rPr>
        <w:t xml:space="preserve">e how two different </w:t>
      </w:r>
      <w:r w:rsidR="00995626">
        <w:rPr>
          <w:rFonts w:ascii="Times New Roman" w:hAnsi="Times New Roman" w:cs="Times New Roman"/>
          <w:sz w:val="24"/>
          <w:szCs w:val="24"/>
          <w:lang w:val="en-US"/>
        </w:rPr>
        <w:t>programmes</w:t>
      </w:r>
      <w:r w:rsidR="00DD7AC7">
        <w:rPr>
          <w:rFonts w:ascii="Times New Roman" w:hAnsi="Times New Roman" w:cs="Times New Roman"/>
          <w:sz w:val="24"/>
          <w:szCs w:val="24"/>
          <w:lang w:val="en-US"/>
        </w:rPr>
        <w:t xml:space="preserve"> in this area of activity have been implemented</w:t>
      </w:r>
      <w:r w:rsidR="00644E01">
        <w:rPr>
          <w:rFonts w:ascii="Times New Roman" w:hAnsi="Times New Roman" w:cs="Times New Roman"/>
          <w:sz w:val="24"/>
          <w:szCs w:val="24"/>
          <w:lang w:val="en-US"/>
        </w:rPr>
        <w:t xml:space="preserve"> and, thus, govern system innovation</w:t>
      </w:r>
      <w:r w:rsidR="00DD7AC7">
        <w:rPr>
          <w:rFonts w:ascii="Times New Roman" w:hAnsi="Times New Roman" w:cs="Times New Roman"/>
          <w:sz w:val="24"/>
          <w:szCs w:val="24"/>
          <w:lang w:val="en-US"/>
        </w:rPr>
        <w:t xml:space="preserve">. We are particularly concerned with the </w:t>
      </w:r>
      <w:r w:rsidR="00E80E25">
        <w:rPr>
          <w:rFonts w:ascii="Times New Roman" w:hAnsi="Times New Roman" w:cs="Times New Roman"/>
          <w:sz w:val="24"/>
          <w:szCs w:val="24"/>
          <w:lang w:val="en-US"/>
        </w:rPr>
        <w:t>way in which these pro</w:t>
      </w:r>
      <w:r w:rsidR="00644E01">
        <w:rPr>
          <w:rFonts w:ascii="Times New Roman" w:hAnsi="Times New Roman" w:cs="Times New Roman"/>
          <w:sz w:val="24"/>
          <w:szCs w:val="24"/>
          <w:lang w:val="en-US"/>
        </w:rPr>
        <w:t>grammes</w:t>
      </w:r>
      <w:r w:rsidR="00E80E25">
        <w:rPr>
          <w:rFonts w:ascii="Times New Roman" w:hAnsi="Times New Roman" w:cs="Times New Roman"/>
          <w:sz w:val="24"/>
          <w:szCs w:val="24"/>
          <w:lang w:val="en-US"/>
        </w:rPr>
        <w:t xml:space="preserve"> have been capable of ‘shielding’, ‘nurturing’ and ‘empowering’ these emerging technologies and the social and institutional practices associated with them.</w:t>
      </w:r>
      <w:r w:rsidR="00DD7AC7">
        <w:rPr>
          <w:rFonts w:ascii="Times New Roman" w:hAnsi="Times New Roman" w:cs="Times New Roman"/>
          <w:sz w:val="24"/>
          <w:szCs w:val="24"/>
          <w:lang w:val="en-US"/>
        </w:rPr>
        <w:t xml:space="preserve"> </w:t>
      </w:r>
      <w:r w:rsidR="001015F7">
        <w:rPr>
          <w:rFonts w:ascii="Times New Roman" w:hAnsi="Times New Roman" w:cs="Times New Roman"/>
          <w:sz w:val="24"/>
          <w:szCs w:val="24"/>
          <w:lang w:val="en-US"/>
        </w:rPr>
        <w:t xml:space="preserve">We will also explore how different national </w:t>
      </w:r>
      <w:r w:rsidR="00F837C8">
        <w:rPr>
          <w:rFonts w:ascii="Times New Roman" w:hAnsi="Times New Roman" w:cs="Times New Roman"/>
          <w:sz w:val="24"/>
          <w:szCs w:val="24"/>
          <w:lang w:val="en-US"/>
        </w:rPr>
        <w:t>state</w:t>
      </w:r>
      <w:r w:rsidR="004F49A1">
        <w:rPr>
          <w:rFonts w:ascii="Times New Roman" w:hAnsi="Times New Roman" w:cs="Times New Roman"/>
          <w:sz w:val="24"/>
          <w:szCs w:val="24"/>
          <w:lang w:val="en-US"/>
        </w:rPr>
        <w:t xml:space="preserve"> responses are </w:t>
      </w:r>
      <w:r w:rsidR="001015F7">
        <w:rPr>
          <w:rFonts w:ascii="Times New Roman" w:hAnsi="Times New Roman" w:cs="Times New Roman"/>
          <w:sz w:val="24"/>
          <w:szCs w:val="24"/>
          <w:lang w:val="en-US"/>
        </w:rPr>
        <w:t>embed</w:t>
      </w:r>
      <w:r w:rsidR="004F49A1">
        <w:rPr>
          <w:rFonts w:ascii="Times New Roman" w:hAnsi="Times New Roman" w:cs="Times New Roman"/>
          <w:sz w:val="24"/>
          <w:szCs w:val="24"/>
          <w:lang w:val="en-US"/>
        </w:rPr>
        <w:t>ded</w:t>
      </w:r>
      <w:r w:rsidR="001015F7">
        <w:rPr>
          <w:rFonts w:ascii="Times New Roman" w:hAnsi="Times New Roman" w:cs="Times New Roman"/>
          <w:sz w:val="24"/>
          <w:szCs w:val="24"/>
          <w:lang w:val="en-US"/>
        </w:rPr>
        <w:t xml:space="preserve"> in society in order to deal with the systemic failures that need to be addressed in order </w:t>
      </w:r>
      <w:r w:rsidR="00FE7CD8">
        <w:rPr>
          <w:rFonts w:ascii="Times New Roman" w:hAnsi="Times New Roman" w:cs="Times New Roman"/>
          <w:sz w:val="24"/>
          <w:szCs w:val="24"/>
          <w:lang w:val="en-US"/>
        </w:rPr>
        <w:t>for technologies to move from the niche to the regime level</w:t>
      </w:r>
      <w:r w:rsidR="001015F7">
        <w:rPr>
          <w:rFonts w:ascii="Times New Roman" w:hAnsi="Times New Roman" w:cs="Times New Roman"/>
          <w:sz w:val="24"/>
          <w:szCs w:val="24"/>
          <w:lang w:val="en-US"/>
        </w:rPr>
        <w:t>.</w:t>
      </w:r>
      <w:r w:rsidR="001015F7" w:rsidDel="001015F7">
        <w:rPr>
          <w:rFonts w:ascii="Times New Roman" w:hAnsi="Times New Roman" w:cs="Times New Roman"/>
          <w:sz w:val="24"/>
          <w:szCs w:val="24"/>
          <w:lang w:val="en-US"/>
        </w:rPr>
        <w:t xml:space="preserve"> </w:t>
      </w:r>
    </w:p>
    <w:p w14:paraId="66E1EF84" w14:textId="1ECF70DA" w:rsidR="0029476D" w:rsidRPr="0006608F" w:rsidRDefault="00591DD0" w:rsidP="00DA712E">
      <w:pPr>
        <w:pStyle w:val="Heading2"/>
        <w:rPr>
          <w:lang w:val="en-US"/>
        </w:rPr>
      </w:pPr>
      <w:r>
        <w:rPr>
          <w:lang w:val="en-US"/>
        </w:rPr>
        <w:t xml:space="preserve">3 </w:t>
      </w:r>
      <w:r w:rsidR="00DF3FBA" w:rsidRPr="00DA712E">
        <w:rPr>
          <w:lang w:val="en-US"/>
        </w:rPr>
        <w:t>Methodology</w:t>
      </w:r>
    </w:p>
    <w:p w14:paraId="04AE9697" w14:textId="30A384F6" w:rsidR="00605F63" w:rsidRDefault="00DF3FBA" w:rsidP="00522C5F">
      <w:pPr>
        <w:spacing w:after="120" w:line="480" w:lineRule="auto"/>
        <w:jc w:val="both"/>
        <w:rPr>
          <w:rFonts w:ascii="Times New Roman" w:hAnsi="Times New Roman" w:cs="Times New Roman"/>
          <w:sz w:val="24"/>
          <w:szCs w:val="24"/>
        </w:rPr>
      </w:pPr>
      <w:r w:rsidRPr="00DA712E">
        <w:rPr>
          <w:rFonts w:ascii="Times New Roman" w:hAnsi="Times New Roman" w:cs="Times New Roman"/>
          <w:sz w:val="24"/>
          <w:szCs w:val="24"/>
        </w:rPr>
        <w:t>The empirical analysis for this paper is supported by two case studies conducted in the period 2014-2016.</w:t>
      </w:r>
      <w:r w:rsidR="00FB2779">
        <w:rPr>
          <w:rFonts w:ascii="Times New Roman" w:hAnsi="Times New Roman" w:cs="Times New Roman"/>
          <w:sz w:val="24"/>
          <w:szCs w:val="24"/>
        </w:rPr>
        <w:t xml:space="preserve"> The data collection wa</w:t>
      </w:r>
      <w:r w:rsidR="00FB2779" w:rsidRPr="00B95FA4">
        <w:rPr>
          <w:rFonts w:ascii="Times New Roman" w:hAnsi="Times New Roman" w:cs="Times New Roman"/>
          <w:sz w:val="24"/>
          <w:szCs w:val="24"/>
        </w:rPr>
        <w:t xml:space="preserve">s based on data triangulation between </w:t>
      </w:r>
      <w:r w:rsidR="007C0024">
        <w:rPr>
          <w:rFonts w:ascii="Times New Roman" w:hAnsi="Times New Roman" w:cs="Times New Roman"/>
          <w:sz w:val="24"/>
          <w:szCs w:val="24"/>
        </w:rPr>
        <w:t>(</w:t>
      </w:r>
      <w:r w:rsidR="00FB2779" w:rsidRPr="00B95FA4">
        <w:rPr>
          <w:rFonts w:ascii="Times New Roman" w:hAnsi="Times New Roman" w:cs="Times New Roman"/>
          <w:sz w:val="24"/>
          <w:szCs w:val="24"/>
        </w:rPr>
        <w:t>a) desk-top</w:t>
      </w:r>
      <w:r w:rsidR="00FB2779">
        <w:rPr>
          <w:rFonts w:ascii="Times New Roman" w:hAnsi="Times New Roman" w:cs="Times New Roman"/>
          <w:sz w:val="24"/>
          <w:szCs w:val="24"/>
        </w:rPr>
        <w:t xml:space="preserve"> research</w:t>
      </w:r>
      <w:r w:rsidR="00FB2779" w:rsidRPr="00B95FA4">
        <w:rPr>
          <w:rFonts w:ascii="Times New Roman" w:hAnsi="Times New Roman" w:cs="Times New Roman"/>
          <w:sz w:val="24"/>
          <w:szCs w:val="24"/>
        </w:rPr>
        <w:t xml:space="preserve"> and document </w:t>
      </w:r>
      <w:r w:rsidR="00FB2779">
        <w:rPr>
          <w:rFonts w:ascii="Times New Roman" w:hAnsi="Times New Roman" w:cs="Times New Roman"/>
          <w:sz w:val="24"/>
          <w:szCs w:val="24"/>
        </w:rPr>
        <w:t>analysis</w:t>
      </w:r>
      <w:r w:rsidR="00FB2779" w:rsidRPr="00B95FA4">
        <w:rPr>
          <w:rFonts w:ascii="Times New Roman" w:hAnsi="Times New Roman" w:cs="Times New Roman"/>
          <w:sz w:val="24"/>
          <w:szCs w:val="24"/>
        </w:rPr>
        <w:t xml:space="preserve">, </w:t>
      </w:r>
      <w:r w:rsidR="007C0024">
        <w:rPr>
          <w:rFonts w:ascii="Times New Roman" w:hAnsi="Times New Roman" w:cs="Times New Roman"/>
          <w:sz w:val="24"/>
          <w:szCs w:val="24"/>
        </w:rPr>
        <w:t>(</w:t>
      </w:r>
      <w:r w:rsidR="00FB2779" w:rsidRPr="00B95FA4">
        <w:rPr>
          <w:rFonts w:ascii="Times New Roman" w:hAnsi="Times New Roman" w:cs="Times New Roman"/>
          <w:sz w:val="24"/>
          <w:szCs w:val="24"/>
        </w:rPr>
        <w:t xml:space="preserve">b) </w:t>
      </w:r>
      <w:r w:rsidR="00522C5F" w:rsidRPr="00B95FA4">
        <w:rPr>
          <w:rFonts w:ascii="Times New Roman" w:hAnsi="Times New Roman" w:cs="Times New Roman"/>
          <w:sz w:val="24"/>
          <w:szCs w:val="24"/>
        </w:rPr>
        <w:t>interviews</w:t>
      </w:r>
      <w:r w:rsidR="00FB2779" w:rsidRPr="00B95FA4">
        <w:rPr>
          <w:rFonts w:ascii="Times New Roman" w:hAnsi="Times New Roman" w:cs="Times New Roman"/>
          <w:sz w:val="24"/>
          <w:szCs w:val="24"/>
        </w:rPr>
        <w:t xml:space="preserve">, and </w:t>
      </w:r>
      <w:r w:rsidR="007C0024">
        <w:rPr>
          <w:rFonts w:ascii="Times New Roman" w:hAnsi="Times New Roman" w:cs="Times New Roman"/>
          <w:sz w:val="24"/>
          <w:szCs w:val="24"/>
        </w:rPr>
        <w:t>(</w:t>
      </w:r>
      <w:r w:rsidR="00FB2779" w:rsidRPr="00B95FA4">
        <w:rPr>
          <w:rFonts w:ascii="Times New Roman" w:hAnsi="Times New Roman" w:cs="Times New Roman"/>
          <w:sz w:val="24"/>
          <w:szCs w:val="24"/>
        </w:rPr>
        <w:t>c)</w:t>
      </w:r>
      <w:r w:rsidR="00522C5F">
        <w:rPr>
          <w:rFonts w:ascii="Times New Roman" w:hAnsi="Times New Roman" w:cs="Times New Roman"/>
          <w:sz w:val="24"/>
          <w:szCs w:val="24"/>
        </w:rPr>
        <w:t xml:space="preserve"> </w:t>
      </w:r>
      <w:r w:rsidR="00522C5F" w:rsidRPr="00B95FA4">
        <w:rPr>
          <w:rFonts w:ascii="Times New Roman" w:hAnsi="Times New Roman" w:cs="Times New Roman"/>
          <w:sz w:val="24"/>
          <w:szCs w:val="24"/>
        </w:rPr>
        <w:t>participation in policy and industry seminars</w:t>
      </w:r>
      <w:r w:rsidR="00FB2779" w:rsidRPr="00B95FA4">
        <w:rPr>
          <w:rFonts w:ascii="Times New Roman" w:hAnsi="Times New Roman" w:cs="Times New Roman"/>
          <w:sz w:val="24"/>
          <w:szCs w:val="24"/>
        </w:rPr>
        <w:t xml:space="preserve">. </w:t>
      </w:r>
      <w:r w:rsidR="007A3212">
        <w:rPr>
          <w:rFonts w:ascii="Times New Roman" w:hAnsi="Times New Roman" w:cs="Times New Roman"/>
          <w:sz w:val="24"/>
          <w:szCs w:val="24"/>
        </w:rPr>
        <w:t>T</w:t>
      </w:r>
      <w:r w:rsidR="00FB2779">
        <w:rPr>
          <w:rFonts w:ascii="Times New Roman" w:hAnsi="Times New Roman" w:cs="Times New Roman"/>
          <w:sz w:val="24"/>
          <w:szCs w:val="24"/>
        </w:rPr>
        <w:t>he documents reviewed consisted</w:t>
      </w:r>
      <w:r w:rsidR="00FB2779" w:rsidRPr="00B95FA4">
        <w:rPr>
          <w:rFonts w:ascii="Times New Roman" w:hAnsi="Times New Roman" w:cs="Times New Roman"/>
          <w:sz w:val="24"/>
          <w:szCs w:val="24"/>
        </w:rPr>
        <w:t xml:space="preserve"> primarily of collecting relevant material from government documents and policy reports</w:t>
      </w:r>
      <w:r w:rsidR="00FB2779">
        <w:rPr>
          <w:rFonts w:ascii="Times New Roman" w:hAnsi="Times New Roman" w:cs="Times New Roman"/>
          <w:sz w:val="24"/>
          <w:szCs w:val="24"/>
        </w:rPr>
        <w:t>, includi</w:t>
      </w:r>
      <w:r w:rsidR="00522C5F">
        <w:rPr>
          <w:rFonts w:ascii="Times New Roman" w:hAnsi="Times New Roman" w:cs="Times New Roman"/>
          <w:sz w:val="24"/>
          <w:szCs w:val="24"/>
        </w:rPr>
        <w:t>ng evaluations of the policy programmes</w:t>
      </w:r>
      <w:r w:rsidR="00FB2779" w:rsidRPr="00B95FA4">
        <w:rPr>
          <w:rFonts w:ascii="Times New Roman" w:hAnsi="Times New Roman" w:cs="Times New Roman"/>
          <w:sz w:val="24"/>
          <w:szCs w:val="24"/>
        </w:rPr>
        <w:t>.</w:t>
      </w:r>
      <w:r w:rsidR="00522C5F">
        <w:rPr>
          <w:rFonts w:ascii="Times New Roman" w:hAnsi="Times New Roman" w:cs="Times New Roman"/>
          <w:sz w:val="24"/>
          <w:szCs w:val="24"/>
        </w:rPr>
        <w:t xml:space="preserve"> For the second and most significant part of the research,</w:t>
      </w:r>
      <w:r w:rsidR="00522C5F" w:rsidRPr="00522C5F">
        <w:rPr>
          <w:rFonts w:ascii="Times New Roman" w:hAnsi="Times New Roman" w:cs="Times New Roman"/>
          <w:sz w:val="24"/>
          <w:szCs w:val="24"/>
        </w:rPr>
        <w:t xml:space="preserve"> </w:t>
      </w:r>
      <w:r w:rsidR="00522C5F" w:rsidRPr="00B95FA4">
        <w:rPr>
          <w:rFonts w:ascii="Times New Roman" w:hAnsi="Times New Roman" w:cs="Times New Roman"/>
          <w:sz w:val="24"/>
          <w:szCs w:val="24"/>
        </w:rPr>
        <w:t>interviews were conducted with key informants representing the policy apparatus, research and innovation policy program</w:t>
      </w:r>
      <w:r w:rsidR="000A3C2C">
        <w:rPr>
          <w:rFonts w:ascii="Times New Roman" w:hAnsi="Times New Roman" w:cs="Times New Roman"/>
          <w:sz w:val="24"/>
          <w:szCs w:val="24"/>
        </w:rPr>
        <w:t>me</w:t>
      </w:r>
      <w:r w:rsidR="00522C5F" w:rsidRPr="00B95FA4">
        <w:rPr>
          <w:rFonts w:ascii="Times New Roman" w:hAnsi="Times New Roman" w:cs="Times New Roman"/>
          <w:sz w:val="24"/>
          <w:szCs w:val="24"/>
        </w:rPr>
        <w:t xml:space="preserve">s, interest organizations and municipalities. The interviews </w:t>
      </w:r>
      <w:r w:rsidR="00522C5F">
        <w:rPr>
          <w:rFonts w:ascii="Times New Roman" w:hAnsi="Times New Roman" w:cs="Times New Roman"/>
          <w:sz w:val="24"/>
          <w:szCs w:val="24"/>
        </w:rPr>
        <w:t>followed a semi-structured format,</w:t>
      </w:r>
      <w:r w:rsidR="00522C5F" w:rsidRPr="00B95FA4">
        <w:rPr>
          <w:rFonts w:ascii="Times New Roman" w:hAnsi="Times New Roman" w:cs="Times New Roman"/>
          <w:sz w:val="24"/>
          <w:szCs w:val="24"/>
        </w:rPr>
        <w:t xml:space="preserve"> were</w:t>
      </w:r>
      <w:r w:rsidR="00522C5F">
        <w:rPr>
          <w:rFonts w:ascii="Times New Roman" w:hAnsi="Times New Roman" w:cs="Times New Roman"/>
          <w:sz w:val="24"/>
          <w:szCs w:val="24"/>
        </w:rPr>
        <w:t xml:space="preserve"> conducted</w:t>
      </w:r>
      <w:r w:rsidR="00522C5F" w:rsidRPr="00B95FA4">
        <w:rPr>
          <w:rFonts w:ascii="Times New Roman" w:hAnsi="Times New Roman" w:cs="Times New Roman"/>
          <w:sz w:val="24"/>
          <w:szCs w:val="24"/>
        </w:rPr>
        <w:t xml:space="preserve"> face to face, and were on average one hour long. </w:t>
      </w:r>
    </w:p>
    <w:p w14:paraId="38D3C718" w14:textId="3C24FA0B" w:rsidR="00522C5F" w:rsidRPr="00B95FA4" w:rsidRDefault="00522C5F" w:rsidP="00522C5F">
      <w:pPr>
        <w:spacing w:after="120" w:line="480" w:lineRule="auto"/>
        <w:jc w:val="both"/>
        <w:rPr>
          <w:rFonts w:ascii="Times New Roman" w:hAnsi="Times New Roman" w:cs="Times New Roman"/>
          <w:sz w:val="24"/>
          <w:szCs w:val="24"/>
        </w:rPr>
      </w:pPr>
      <w:r w:rsidRPr="00B95FA4">
        <w:rPr>
          <w:rFonts w:ascii="Times New Roman" w:hAnsi="Times New Roman" w:cs="Times New Roman"/>
          <w:sz w:val="24"/>
          <w:szCs w:val="24"/>
        </w:rPr>
        <w:t>The interviews focused on the respondents’ views on the development</w:t>
      </w:r>
      <w:r>
        <w:rPr>
          <w:rFonts w:ascii="Times New Roman" w:hAnsi="Times New Roman" w:cs="Times New Roman"/>
          <w:sz w:val="24"/>
          <w:szCs w:val="24"/>
        </w:rPr>
        <w:t xml:space="preserve"> process within assisted living in particular, and with ageing policies in general. The topics covered included</w:t>
      </w:r>
      <w:r w:rsidRPr="00B95FA4">
        <w:rPr>
          <w:rFonts w:ascii="Times New Roman" w:hAnsi="Times New Roman" w:cs="Times New Roman"/>
          <w:sz w:val="24"/>
          <w:szCs w:val="24"/>
        </w:rPr>
        <w:t xml:space="preserve"> aspects such as coordination, collaboration, responsibilities, technologies, challenges, knowledge development and innovation</w:t>
      </w:r>
      <w:r>
        <w:rPr>
          <w:rFonts w:ascii="Times New Roman" w:hAnsi="Times New Roman" w:cs="Times New Roman"/>
          <w:sz w:val="24"/>
          <w:szCs w:val="24"/>
        </w:rPr>
        <w:t>. The semi-structured</w:t>
      </w:r>
      <w:r w:rsidRPr="00B95FA4">
        <w:rPr>
          <w:rFonts w:ascii="Times New Roman" w:hAnsi="Times New Roman" w:cs="Times New Roman"/>
          <w:sz w:val="24"/>
          <w:szCs w:val="24"/>
        </w:rPr>
        <w:t xml:space="preserve"> </w:t>
      </w:r>
      <w:r>
        <w:rPr>
          <w:rFonts w:ascii="Times New Roman" w:hAnsi="Times New Roman" w:cs="Times New Roman"/>
          <w:sz w:val="24"/>
          <w:szCs w:val="24"/>
        </w:rPr>
        <w:t xml:space="preserve">script </w:t>
      </w:r>
      <w:r w:rsidRPr="00B95FA4">
        <w:rPr>
          <w:rFonts w:ascii="Times New Roman" w:hAnsi="Times New Roman" w:cs="Times New Roman"/>
          <w:sz w:val="24"/>
          <w:szCs w:val="24"/>
        </w:rPr>
        <w:t xml:space="preserve">was chosen to ensure </w:t>
      </w:r>
      <w:r>
        <w:rPr>
          <w:rFonts w:ascii="Times New Roman" w:hAnsi="Times New Roman" w:cs="Times New Roman"/>
          <w:sz w:val="24"/>
          <w:szCs w:val="24"/>
        </w:rPr>
        <w:t>that relevant</w:t>
      </w:r>
      <w:r w:rsidRPr="00B95FA4">
        <w:rPr>
          <w:rFonts w:ascii="Times New Roman" w:hAnsi="Times New Roman" w:cs="Times New Roman"/>
          <w:sz w:val="24"/>
          <w:szCs w:val="24"/>
        </w:rPr>
        <w:t xml:space="preserve"> topics</w:t>
      </w:r>
      <w:r>
        <w:rPr>
          <w:rFonts w:ascii="Times New Roman" w:hAnsi="Times New Roman" w:cs="Times New Roman"/>
          <w:sz w:val="24"/>
          <w:szCs w:val="24"/>
        </w:rPr>
        <w:t xml:space="preserve"> were discussed</w:t>
      </w:r>
      <w:r w:rsidRPr="00B95FA4">
        <w:rPr>
          <w:rFonts w:ascii="Times New Roman" w:hAnsi="Times New Roman" w:cs="Times New Roman"/>
          <w:sz w:val="24"/>
          <w:szCs w:val="24"/>
        </w:rPr>
        <w:t>, whereas at the same time allowing for unexpected aspects to arise during the conversation</w:t>
      </w:r>
      <w:r>
        <w:rPr>
          <w:rFonts w:ascii="Times New Roman" w:hAnsi="Times New Roman" w:cs="Times New Roman"/>
          <w:sz w:val="24"/>
          <w:szCs w:val="24"/>
        </w:rPr>
        <w:t xml:space="preserve">. The selection of respondents was initially </w:t>
      </w:r>
      <w:r w:rsidRPr="00B95FA4">
        <w:rPr>
          <w:rFonts w:ascii="Times New Roman" w:hAnsi="Times New Roman" w:cs="Times New Roman"/>
          <w:sz w:val="24"/>
          <w:szCs w:val="24"/>
        </w:rPr>
        <w:t xml:space="preserve">based on </w:t>
      </w:r>
      <w:r>
        <w:rPr>
          <w:rFonts w:ascii="Times New Roman" w:hAnsi="Times New Roman" w:cs="Times New Roman"/>
          <w:sz w:val="24"/>
          <w:szCs w:val="24"/>
        </w:rPr>
        <w:t>contacting the</w:t>
      </w:r>
      <w:r w:rsidRPr="00B95FA4">
        <w:rPr>
          <w:rFonts w:ascii="Times New Roman" w:hAnsi="Times New Roman" w:cs="Times New Roman"/>
          <w:sz w:val="24"/>
          <w:szCs w:val="24"/>
        </w:rPr>
        <w:t xml:space="preserve"> cent</w:t>
      </w:r>
      <w:r>
        <w:rPr>
          <w:rFonts w:ascii="Times New Roman" w:hAnsi="Times New Roman" w:cs="Times New Roman"/>
          <w:sz w:val="24"/>
          <w:szCs w:val="24"/>
        </w:rPr>
        <w:t>ral players in these programmes</w:t>
      </w:r>
      <w:r w:rsidRPr="00B95FA4">
        <w:rPr>
          <w:rFonts w:ascii="Times New Roman" w:hAnsi="Times New Roman" w:cs="Times New Roman"/>
          <w:sz w:val="24"/>
          <w:szCs w:val="24"/>
        </w:rPr>
        <w:t xml:space="preserve"> </w:t>
      </w:r>
      <w:r>
        <w:rPr>
          <w:rFonts w:ascii="Times New Roman" w:hAnsi="Times New Roman" w:cs="Times New Roman"/>
          <w:sz w:val="24"/>
          <w:szCs w:val="24"/>
        </w:rPr>
        <w:t>and later through</w:t>
      </w:r>
      <w:r w:rsidRPr="00B95FA4">
        <w:rPr>
          <w:rFonts w:ascii="Times New Roman" w:hAnsi="Times New Roman" w:cs="Times New Roman"/>
          <w:sz w:val="24"/>
          <w:szCs w:val="24"/>
        </w:rPr>
        <w:t xml:space="preserve"> a snowball approach where interviewees were </w:t>
      </w:r>
      <w:r w:rsidRPr="00B95FA4">
        <w:rPr>
          <w:rFonts w:ascii="Times New Roman" w:hAnsi="Times New Roman" w:cs="Times New Roman"/>
          <w:sz w:val="24"/>
          <w:szCs w:val="24"/>
        </w:rPr>
        <w:lastRenderedPageBreak/>
        <w:t>asked to name potentially relevant candidates for subsequent interviews.</w:t>
      </w:r>
      <w:r w:rsidR="00605F63">
        <w:rPr>
          <w:rFonts w:ascii="Times New Roman" w:hAnsi="Times New Roman" w:cs="Times New Roman"/>
          <w:sz w:val="24"/>
          <w:szCs w:val="24"/>
        </w:rPr>
        <w:t xml:space="preserve"> The researchers took notes d</w:t>
      </w:r>
      <w:r w:rsidR="000A3C2C">
        <w:rPr>
          <w:rFonts w:ascii="Times New Roman" w:hAnsi="Times New Roman" w:cs="Times New Roman"/>
          <w:sz w:val="24"/>
          <w:szCs w:val="24"/>
        </w:rPr>
        <w:t>uring the interviews and organiz</w:t>
      </w:r>
      <w:r w:rsidR="00605F63">
        <w:rPr>
          <w:rFonts w:ascii="Times New Roman" w:hAnsi="Times New Roman" w:cs="Times New Roman"/>
          <w:sz w:val="24"/>
          <w:szCs w:val="24"/>
        </w:rPr>
        <w:t xml:space="preserve">ed these notes according to the main themes, in order to compare and contrast the empirical material. </w:t>
      </w:r>
    </w:p>
    <w:p w14:paraId="2F89ABF3" w14:textId="316A28E3" w:rsidR="00B95FA4" w:rsidRPr="00B95FA4" w:rsidRDefault="00522C5F" w:rsidP="000A3C2C">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UK </w:t>
      </w:r>
      <w:r w:rsidR="00605F63">
        <w:rPr>
          <w:rFonts w:ascii="Times New Roman" w:hAnsi="Times New Roman" w:cs="Times New Roman"/>
          <w:sz w:val="24"/>
          <w:szCs w:val="24"/>
        </w:rPr>
        <w:t>case,</w:t>
      </w:r>
      <w:r>
        <w:rPr>
          <w:rFonts w:ascii="Times New Roman" w:hAnsi="Times New Roman" w:cs="Times New Roman"/>
          <w:sz w:val="24"/>
          <w:szCs w:val="24"/>
        </w:rPr>
        <w:t xml:space="preserve"> there were</w:t>
      </w:r>
      <w:r w:rsidR="00DF3FBA" w:rsidRPr="00DA712E">
        <w:rPr>
          <w:rFonts w:ascii="Times New Roman" w:hAnsi="Times New Roman" w:cs="Times New Roman"/>
          <w:sz w:val="24"/>
          <w:szCs w:val="24"/>
        </w:rPr>
        <w:t xml:space="preserve"> 20 interviews with stakeholders responsible for delivering ageing policies at the UK and Welsh level</w:t>
      </w:r>
      <w:r w:rsidR="000A3C2C">
        <w:rPr>
          <w:rFonts w:ascii="Times New Roman" w:hAnsi="Times New Roman" w:cs="Times New Roman"/>
          <w:sz w:val="24"/>
          <w:szCs w:val="24"/>
        </w:rPr>
        <w:t>s</w:t>
      </w:r>
      <w:r w:rsidR="00DF3FBA" w:rsidRPr="00DA712E">
        <w:rPr>
          <w:rFonts w:ascii="Times New Roman" w:hAnsi="Times New Roman" w:cs="Times New Roman"/>
          <w:sz w:val="24"/>
          <w:szCs w:val="24"/>
        </w:rPr>
        <w:t>, with representatives of Innovate UK, a</w:t>
      </w:r>
      <w:r w:rsidR="00605F63">
        <w:rPr>
          <w:rFonts w:ascii="Times New Roman" w:hAnsi="Times New Roman" w:cs="Times New Roman"/>
          <w:sz w:val="24"/>
          <w:szCs w:val="24"/>
        </w:rPr>
        <w:t>nd with representatives of the four</w:t>
      </w:r>
      <w:r w:rsidR="000A3C2C">
        <w:rPr>
          <w:rFonts w:ascii="Times New Roman" w:hAnsi="Times New Roman" w:cs="Times New Roman"/>
          <w:sz w:val="24"/>
          <w:szCs w:val="24"/>
        </w:rPr>
        <w:t xml:space="preserve"> organiz</w:t>
      </w:r>
      <w:r w:rsidR="00DF3FBA" w:rsidRPr="00DA712E">
        <w:rPr>
          <w:rFonts w:ascii="Times New Roman" w:hAnsi="Times New Roman" w:cs="Times New Roman"/>
          <w:sz w:val="24"/>
          <w:szCs w:val="24"/>
        </w:rPr>
        <w:t>ations supported by the</w:t>
      </w:r>
      <w:r w:rsidR="000A3C2C">
        <w:rPr>
          <w:rFonts w:ascii="Times New Roman" w:hAnsi="Times New Roman" w:cs="Times New Roman"/>
          <w:sz w:val="24"/>
          <w:szCs w:val="24"/>
        </w:rPr>
        <w:t xml:space="preserve"> </w:t>
      </w:r>
      <w:r w:rsidR="000A3C2C" w:rsidRPr="000A3C2C">
        <w:rPr>
          <w:rFonts w:ascii="Times New Roman" w:hAnsi="Times New Roman" w:cs="Times New Roman"/>
          <w:sz w:val="24"/>
          <w:szCs w:val="24"/>
        </w:rPr>
        <w:t>Demonstrators of Assisted</w:t>
      </w:r>
      <w:r w:rsidR="000A3C2C">
        <w:rPr>
          <w:rFonts w:ascii="Times New Roman" w:hAnsi="Times New Roman" w:cs="Times New Roman"/>
          <w:sz w:val="24"/>
          <w:szCs w:val="24"/>
        </w:rPr>
        <w:t xml:space="preserve"> </w:t>
      </w:r>
      <w:r w:rsidR="000A3C2C" w:rsidRPr="000A3C2C">
        <w:rPr>
          <w:rFonts w:ascii="Times New Roman" w:hAnsi="Times New Roman" w:cs="Times New Roman"/>
          <w:sz w:val="24"/>
          <w:szCs w:val="24"/>
        </w:rPr>
        <w:t>Living Lifestyles at Scale</w:t>
      </w:r>
      <w:r w:rsidR="00DF3FBA" w:rsidRPr="00DA712E">
        <w:rPr>
          <w:rFonts w:ascii="Times New Roman" w:hAnsi="Times New Roman" w:cs="Times New Roman"/>
          <w:sz w:val="24"/>
          <w:szCs w:val="24"/>
        </w:rPr>
        <w:t xml:space="preserve"> </w:t>
      </w:r>
      <w:r w:rsidR="000A3C2C">
        <w:rPr>
          <w:rFonts w:ascii="Times New Roman" w:hAnsi="Times New Roman" w:cs="Times New Roman"/>
          <w:sz w:val="24"/>
          <w:szCs w:val="24"/>
        </w:rPr>
        <w:t>(</w:t>
      </w:r>
      <w:r w:rsidR="00DF3FBA" w:rsidRPr="00DA712E">
        <w:rPr>
          <w:rFonts w:ascii="Times New Roman" w:hAnsi="Times New Roman" w:cs="Times New Roman"/>
          <w:sz w:val="24"/>
          <w:szCs w:val="24"/>
        </w:rPr>
        <w:t>DALLAS</w:t>
      </w:r>
      <w:r w:rsidR="000A3C2C">
        <w:rPr>
          <w:rFonts w:ascii="Times New Roman" w:hAnsi="Times New Roman" w:cs="Times New Roman"/>
          <w:sz w:val="24"/>
          <w:szCs w:val="24"/>
        </w:rPr>
        <w:t>)</w:t>
      </w:r>
      <w:r w:rsidR="00DF3FBA" w:rsidRPr="00DA712E">
        <w:rPr>
          <w:rFonts w:ascii="Times New Roman" w:hAnsi="Times New Roman" w:cs="Times New Roman"/>
          <w:sz w:val="24"/>
          <w:szCs w:val="24"/>
        </w:rPr>
        <w:t xml:space="preserve"> progra</w:t>
      </w:r>
      <w:r w:rsidR="00991652">
        <w:rPr>
          <w:rFonts w:ascii="Times New Roman" w:hAnsi="Times New Roman" w:cs="Times New Roman"/>
          <w:sz w:val="24"/>
          <w:szCs w:val="24"/>
        </w:rPr>
        <w:t>mme (more detail about this programme is</w:t>
      </w:r>
      <w:r w:rsidR="00BB5914">
        <w:rPr>
          <w:rFonts w:ascii="Times New Roman" w:hAnsi="Times New Roman" w:cs="Times New Roman"/>
          <w:sz w:val="24"/>
          <w:szCs w:val="24"/>
        </w:rPr>
        <w:t xml:space="preserve"> available in</w:t>
      </w:r>
      <w:r w:rsidR="00DF3FBA" w:rsidRPr="00DA712E">
        <w:rPr>
          <w:rFonts w:ascii="Times New Roman" w:hAnsi="Times New Roman" w:cs="Times New Roman"/>
          <w:sz w:val="24"/>
          <w:szCs w:val="24"/>
        </w:rPr>
        <w:t xml:space="preserve"> the results section</w:t>
      </w:r>
      <w:r>
        <w:rPr>
          <w:rFonts w:ascii="Times New Roman" w:hAnsi="Times New Roman" w:cs="Times New Roman"/>
          <w:sz w:val="24"/>
          <w:szCs w:val="24"/>
        </w:rPr>
        <w:t>). It also included attending</w:t>
      </w:r>
      <w:r w:rsidR="00DF3FBA" w:rsidRPr="00DA712E">
        <w:rPr>
          <w:rFonts w:ascii="Times New Roman" w:hAnsi="Times New Roman" w:cs="Times New Roman"/>
          <w:sz w:val="24"/>
          <w:szCs w:val="24"/>
        </w:rPr>
        <w:t xml:space="preserve"> seminar</w:t>
      </w:r>
      <w:r>
        <w:rPr>
          <w:rFonts w:ascii="Times New Roman" w:hAnsi="Times New Roman" w:cs="Times New Roman"/>
          <w:sz w:val="24"/>
          <w:szCs w:val="24"/>
        </w:rPr>
        <w:t>s</w:t>
      </w:r>
      <w:r w:rsidR="00DF3FBA" w:rsidRPr="00DA712E">
        <w:rPr>
          <w:rFonts w:ascii="Times New Roman" w:hAnsi="Times New Roman" w:cs="Times New Roman"/>
          <w:sz w:val="24"/>
          <w:szCs w:val="24"/>
        </w:rPr>
        <w:t xml:space="preserve"> where results from DALLAS</w:t>
      </w:r>
      <w:r>
        <w:rPr>
          <w:rFonts w:ascii="Times New Roman" w:hAnsi="Times New Roman" w:cs="Times New Roman"/>
          <w:sz w:val="24"/>
          <w:szCs w:val="24"/>
        </w:rPr>
        <w:t xml:space="preserve"> </w:t>
      </w:r>
      <w:r w:rsidR="00DF3FBA" w:rsidRPr="00DA712E">
        <w:rPr>
          <w:rFonts w:ascii="Times New Roman" w:hAnsi="Times New Roman" w:cs="Times New Roman"/>
          <w:sz w:val="24"/>
          <w:szCs w:val="24"/>
        </w:rPr>
        <w:t>were announced and</w:t>
      </w:r>
      <w:r>
        <w:rPr>
          <w:rFonts w:ascii="Times New Roman" w:hAnsi="Times New Roman" w:cs="Times New Roman"/>
          <w:sz w:val="24"/>
          <w:szCs w:val="24"/>
        </w:rPr>
        <w:t xml:space="preserve"> where they were</w:t>
      </w:r>
      <w:r w:rsidR="00DF3FBA" w:rsidRPr="00DA712E">
        <w:rPr>
          <w:rFonts w:ascii="Times New Roman" w:hAnsi="Times New Roman" w:cs="Times New Roman"/>
          <w:sz w:val="24"/>
          <w:szCs w:val="24"/>
        </w:rPr>
        <w:t xml:space="preserve"> discussed by a panel of practitioners and </w:t>
      </w:r>
      <w:r>
        <w:rPr>
          <w:rFonts w:ascii="Times New Roman" w:hAnsi="Times New Roman" w:cs="Times New Roman"/>
          <w:sz w:val="24"/>
          <w:szCs w:val="24"/>
        </w:rPr>
        <w:t xml:space="preserve">by </w:t>
      </w:r>
      <w:r w:rsidR="00DF3FBA" w:rsidRPr="00DA712E">
        <w:rPr>
          <w:rFonts w:ascii="Times New Roman" w:hAnsi="Times New Roman" w:cs="Times New Roman"/>
          <w:sz w:val="24"/>
          <w:szCs w:val="24"/>
        </w:rPr>
        <w:t>academics responsi</w:t>
      </w:r>
      <w:r>
        <w:rPr>
          <w:rFonts w:ascii="Times New Roman" w:hAnsi="Times New Roman" w:cs="Times New Roman"/>
          <w:sz w:val="24"/>
          <w:szCs w:val="24"/>
        </w:rPr>
        <w:t>ble for evaluating the programme</w:t>
      </w:r>
      <w:r w:rsidR="00DF3FBA" w:rsidRPr="00DA712E">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00B95FA4">
        <w:rPr>
          <w:rFonts w:ascii="Times New Roman" w:hAnsi="Times New Roman" w:cs="Times New Roman"/>
          <w:sz w:val="24"/>
          <w:szCs w:val="24"/>
        </w:rPr>
        <w:t xml:space="preserve">Norwegian case, </w:t>
      </w:r>
      <w:r>
        <w:rPr>
          <w:rFonts w:ascii="Times New Roman" w:hAnsi="Times New Roman" w:cs="Times New Roman"/>
          <w:sz w:val="24"/>
          <w:szCs w:val="24"/>
        </w:rPr>
        <w:t xml:space="preserve">researchers </w:t>
      </w:r>
      <w:r w:rsidR="00B3108F">
        <w:rPr>
          <w:rFonts w:ascii="Times New Roman" w:hAnsi="Times New Roman" w:cs="Times New Roman"/>
          <w:sz w:val="24"/>
          <w:szCs w:val="24"/>
        </w:rPr>
        <w:t xml:space="preserve">conducted 20 interviews in 2014 and 2015 and </w:t>
      </w:r>
      <w:r>
        <w:rPr>
          <w:rFonts w:ascii="Times New Roman" w:hAnsi="Times New Roman" w:cs="Times New Roman"/>
          <w:sz w:val="24"/>
          <w:szCs w:val="24"/>
        </w:rPr>
        <w:t>attended 21 industry, policy</w:t>
      </w:r>
      <w:r w:rsidR="00B95FA4" w:rsidRPr="00B95FA4">
        <w:rPr>
          <w:rFonts w:ascii="Times New Roman" w:hAnsi="Times New Roman" w:cs="Times New Roman"/>
          <w:sz w:val="24"/>
          <w:szCs w:val="24"/>
        </w:rPr>
        <w:t xml:space="preserve"> and research gatherings (i.e. seminars, workshops, dialogue conferences, product presentations and conferences) in the period from 2011 to 2015</w:t>
      </w:r>
      <w:r>
        <w:rPr>
          <w:rFonts w:ascii="Times New Roman" w:hAnsi="Times New Roman" w:cs="Times New Roman"/>
          <w:sz w:val="24"/>
          <w:szCs w:val="24"/>
        </w:rPr>
        <w:t>.</w:t>
      </w:r>
      <w:r w:rsidR="00B3108F">
        <w:rPr>
          <w:rFonts w:ascii="Times New Roman" w:hAnsi="Times New Roman" w:cs="Times New Roman"/>
          <w:sz w:val="24"/>
          <w:szCs w:val="24"/>
        </w:rPr>
        <w:t xml:space="preserve"> </w:t>
      </w:r>
      <w:r w:rsidR="00B95FA4" w:rsidRPr="00B95FA4">
        <w:rPr>
          <w:rFonts w:ascii="Times New Roman" w:hAnsi="Times New Roman" w:cs="Times New Roman"/>
          <w:sz w:val="24"/>
          <w:szCs w:val="24"/>
        </w:rPr>
        <w:t xml:space="preserve">The seminars targeted different audiences and spanned various themes from technological products and solutions, innovation, public procurement practices, market opportunities around assisted living, </w:t>
      </w:r>
      <w:r w:rsidR="00991652" w:rsidRPr="00B95FA4">
        <w:rPr>
          <w:rFonts w:ascii="Times New Roman" w:hAnsi="Times New Roman" w:cs="Times New Roman"/>
          <w:sz w:val="24"/>
          <w:szCs w:val="24"/>
        </w:rPr>
        <w:t>policymaking</w:t>
      </w:r>
      <w:r w:rsidR="00B95FA4" w:rsidRPr="00B95FA4">
        <w:rPr>
          <w:rFonts w:ascii="Times New Roman" w:hAnsi="Times New Roman" w:cs="Times New Roman"/>
          <w:sz w:val="24"/>
          <w:szCs w:val="24"/>
        </w:rPr>
        <w:t xml:space="preserve"> and research.</w:t>
      </w:r>
    </w:p>
    <w:p w14:paraId="57FAC0D8" w14:textId="6EBE2A26" w:rsidR="000D0033" w:rsidRPr="006D501E" w:rsidRDefault="00591DD0" w:rsidP="00DA712E">
      <w:pPr>
        <w:pStyle w:val="Heading2"/>
        <w:rPr>
          <w:lang w:val="en-US"/>
        </w:rPr>
      </w:pPr>
      <w:r>
        <w:rPr>
          <w:lang w:val="en-US"/>
        </w:rPr>
        <w:t xml:space="preserve">4 </w:t>
      </w:r>
      <w:r w:rsidR="00A90E5B" w:rsidRPr="006D501E">
        <w:rPr>
          <w:lang w:val="en-US"/>
        </w:rPr>
        <w:t xml:space="preserve">National </w:t>
      </w:r>
      <w:r w:rsidR="00DE1A39">
        <w:rPr>
          <w:lang w:val="en-US"/>
        </w:rPr>
        <w:t>systems of care</w:t>
      </w:r>
      <w:r w:rsidR="00991652">
        <w:rPr>
          <w:lang w:val="en-US"/>
        </w:rPr>
        <w:t xml:space="preserve"> and assisted living in the UK and Norway</w:t>
      </w:r>
    </w:p>
    <w:p w14:paraId="49C507BE" w14:textId="2D760C66" w:rsidR="005355F8" w:rsidRDefault="00F16453" w:rsidP="006A4FD5">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Responding to long-term trends associated with demogra</w:t>
      </w:r>
      <w:r w:rsidR="00BC5B4F">
        <w:rPr>
          <w:rFonts w:ascii="Times New Roman" w:hAnsi="Times New Roman" w:cs="Times New Roman"/>
          <w:sz w:val="24"/>
          <w:szCs w:val="24"/>
          <w:lang w:val="en-US"/>
        </w:rPr>
        <w:t xml:space="preserve">phic ageing and an increase in </w:t>
      </w:r>
      <w:r w:rsidR="00203D85">
        <w:rPr>
          <w:rFonts w:ascii="Times New Roman" w:hAnsi="Times New Roman" w:cs="Times New Roman"/>
          <w:sz w:val="24"/>
          <w:szCs w:val="24"/>
          <w:lang w:val="en-US"/>
        </w:rPr>
        <w:t xml:space="preserve">chronic </w:t>
      </w:r>
      <w:r>
        <w:rPr>
          <w:rFonts w:ascii="Times New Roman" w:hAnsi="Times New Roman" w:cs="Times New Roman"/>
          <w:sz w:val="24"/>
          <w:szCs w:val="24"/>
          <w:lang w:val="en-US"/>
        </w:rPr>
        <w:t xml:space="preserve">diseases, </w:t>
      </w:r>
      <w:r w:rsidR="00BF3964">
        <w:rPr>
          <w:rFonts w:ascii="Times New Roman" w:hAnsi="Times New Roman" w:cs="Times New Roman"/>
          <w:sz w:val="24"/>
          <w:szCs w:val="24"/>
          <w:lang w:val="en-US"/>
        </w:rPr>
        <w:t xml:space="preserve">the national systems of care </w:t>
      </w:r>
      <w:r w:rsidR="00025A27">
        <w:rPr>
          <w:rFonts w:ascii="Times New Roman" w:hAnsi="Times New Roman" w:cs="Times New Roman"/>
          <w:sz w:val="24"/>
          <w:szCs w:val="24"/>
          <w:lang w:val="en-US"/>
        </w:rPr>
        <w:t xml:space="preserve">in the UK and in Norway </w:t>
      </w:r>
      <w:r w:rsidR="00BF3964">
        <w:rPr>
          <w:rFonts w:ascii="Times New Roman" w:hAnsi="Times New Roman" w:cs="Times New Roman"/>
          <w:sz w:val="24"/>
          <w:szCs w:val="24"/>
          <w:lang w:val="en-US"/>
        </w:rPr>
        <w:t>are currently</w:t>
      </w:r>
      <w:r w:rsidR="005355F8">
        <w:rPr>
          <w:rFonts w:ascii="Times New Roman" w:hAnsi="Times New Roman" w:cs="Times New Roman"/>
          <w:sz w:val="24"/>
          <w:szCs w:val="24"/>
          <w:lang w:val="en-US"/>
        </w:rPr>
        <w:t xml:space="preserve"> </w:t>
      </w:r>
      <w:r w:rsidR="00BF4610">
        <w:rPr>
          <w:rFonts w:ascii="Times New Roman" w:hAnsi="Times New Roman" w:cs="Times New Roman"/>
          <w:sz w:val="24"/>
          <w:szCs w:val="24"/>
          <w:lang w:val="en-US"/>
        </w:rPr>
        <w:t xml:space="preserve">undergoing </w:t>
      </w:r>
      <w:r>
        <w:rPr>
          <w:rFonts w:ascii="Times New Roman" w:hAnsi="Times New Roman" w:cs="Times New Roman"/>
          <w:sz w:val="24"/>
          <w:szCs w:val="24"/>
          <w:lang w:val="en-US"/>
        </w:rPr>
        <w:t xml:space="preserve">a major transformation </w:t>
      </w:r>
      <w:r w:rsidR="003958D3">
        <w:rPr>
          <w:rFonts w:ascii="Times New Roman" w:hAnsi="Times New Roman" w:cs="Times New Roman"/>
          <w:sz w:val="24"/>
          <w:szCs w:val="24"/>
          <w:lang w:val="en-US"/>
        </w:rPr>
        <w:t>regarding</w:t>
      </w:r>
      <w:r w:rsidR="005355F8">
        <w:rPr>
          <w:rFonts w:ascii="Times New Roman" w:hAnsi="Times New Roman" w:cs="Times New Roman"/>
          <w:sz w:val="24"/>
          <w:szCs w:val="24"/>
          <w:lang w:val="en-US"/>
        </w:rPr>
        <w:t xml:space="preserve"> treatment</w:t>
      </w:r>
      <w:r>
        <w:rPr>
          <w:rFonts w:ascii="Times New Roman" w:hAnsi="Times New Roman" w:cs="Times New Roman"/>
          <w:sz w:val="24"/>
          <w:szCs w:val="24"/>
          <w:lang w:val="en-US"/>
        </w:rPr>
        <w:t xml:space="preserve"> and </w:t>
      </w:r>
      <w:r w:rsidR="006D501E" w:rsidRPr="006D501E">
        <w:rPr>
          <w:rFonts w:ascii="Times New Roman" w:hAnsi="Times New Roman" w:cs="Times New Roman"/>
          <w:sz w:val="24"/>
          <w:szCs w:val="24"/>
          <w:lang w:val="en-US"/>
        </w:rPr>
        <w:t>support</w:t>
      </w:r>
      <w:r w:rsidR="005355F8">
        <w:rPr>
          <w:rFonts w:ascii="Times New Roman" w:hAnsi="Times New Roman" w:cs="Times New Roman"/>
          <w:sz w:val="24"/>
          <w:szCs w:val="24"/>
          <w:lang w:val="en-US"/>
        </w:rPr>
        <w:t xml:space="preserve"> for patients, particularly those in long-term care</w:t>
      </w:r>
      <w:r w:rsidR="00BF3964">
        <w:rPr>
          <w:rFonts w:ascii="Times New Roman" w:hAnsi="Times New Roman" w:cs="Times New Roman"/>
          <w:sz w:val="24"/>
          <w:szCs w:val="24"/>
          <w:lang w:val="en-US"/>
        </w:rPr>
        <w:t>. This is the</w:t>
      </w:r>
      <w:r w:rsidR="006D501E" w:rsidRPr="006D501E">
        <w:rPr>
          <w:rFonts w:ascii="Times New Roman" w:hAnsi="Times New Roman" w:cs="Times New Roman"/>
          <w:sz w:val="24"/>
          <w:szCs w:val="24"/>
          <w:lang w:val="en-US"/>
        </w:rPr>
        <w:t xml:space="preserve"> shift from treating and caring in hospitals, nursing homes and care homes, toward treatment and support in people’s own homes</w:t>
      </w:r>
      <w:r w:rsidR="005355F8">
        <w:rPr>
          <w:rFonts w:ascii="Times New Roman" w:hAnsi="Times New Roman" w:cs="Times New Roman"/>
          <w:sz w:val="24"/>
          <w:szCs w:val="24"/>
          <w:lang w:val="en-US"/>
        </w:rPr>
        <w:t>,</w:t>
      </w:r>
      <w:r w:rsidR="006D501E" w:rsidRPr="006D501E">
        <w:rPr>
          <w:rFonts w:ascii="Times New Roman" w:hAnsi="Times New Roman" w:cs="Times New Roman"/>
          <w:sz w:val="24"/>
          <w:szCs w:val="24"/>
          <w:lang w:val="en-US"/>
        </w:rPr>
        <w:t xml:space="preserve"> </w:t>
      </w:r>
      <w:r w:rsidR="00130091" w:rsidRPr="006D501E">
        <w:rPr>
          <w:rFonts w:ascii="Times New Roman" w:hAnsi="Times New Roman" w:cs="Times New Roman"/>
          <w:sz w:val="24"/>
          <w:szCs w:val="24"/>
          <w:lang w:val="en-US"/>
        </w:rPr>
        <w:t>utilizing</w:t>
      </w:r>
      <w:r w:rsidR="006D501E" w:rsidRPr="006D501E">
        <w:rPr>
          <w:rFonts w:ascii="Times New Roman" w:hAnsi="Times New Roman" w:cs="Times New Roman"/>
          <w:sz w:val="24"/>
          <w:szCs w:val="24"/>
          <w:lang w:val="en-US"/>
        </w:rPr>
        <w:t xml:space="preserve"> assisted living technologies</w:t>
      </w:r>
      <w:r w:rsidR="00BF3964">
        <w:rPr>
          <w:rFonts w:ascii="Times New Roman" w:hAnsi="Times New Roman" w:cs="Times New Roman"/>
          <w:sz w:val="24"/>
          <w:szCs w:val="24"/>
          <w:lang w:val="en-US"/>
        </w:rPr>
        <w:t xml:space="preserve">. However, the way </w:t>
      </w:r>
      <w:r w:rsidR="0030595B">
        <w:rPr>
          <w:rFonts w:ascii="Times New Roman" w:hAnsi="Times New Roman" w:cs="Times New Roman"/>
          <w:sz w:val="24"/>
          <w:szCs w:val="24"/>
          <w:lang w:val="en-US"/>
        </w:rPr>
        <w:t>in which</w:t>
      </w:r>
      <w:r w:rsidR="00BF3964">
        <w:rPr>
          <w:rFonts w:ascii="Times New Roman" w:hAnsi="Times New Roman" w:cs="Times New Roman"/>
          <w:sz w:val="24"/>
          <w:szCs w:val="24"/>
          <w:lang w:val="en-US"/>
        </w:rPr>
        <w:t xml:space="preserve"> this is being brought about differs be</w:t>
      </w:r>
      <w:r w:rsidR="003958D3">
        <w:rPr>
          <w:rFonts w:ascii="Times New Roman" w:hAnsi="Times New Roman" w:cs="Times New Roman"/>
          <w:sz w:val="24"/>
          <w:szCs w:val="24"/>
          <w:lang w:val="en-US"/>
        </w:rPr>
        <w:t xml:space="preserve">tween </w:t>
      </w:r>
      <w:r>
        <w:rPr>
          <w:rFonts w:ascii="Times New Roman" w:hAnsi="Times New Roman" w:cs="Times New Roman"/>
          <w:sz w:val="24"/>
          <w:szCs w:val="24"/>
          <w:lang w:val="en-US"/>
        </w:rPr>
        <w:t xml:space="preserve">the two </w:t>
      </w:r>
      <w:r w:rsidR="003958D3">
        <w:rPr>
          <w:rFonts w:ascii="Times New Roman" w:hAnsi="Times New Roman" w:cs="Times New Roman"/>
          <w:sz w:val="24"/>
          <w:szCs w:val="24"/>
          <w:lang w:val="en-US"/>
        </w:rPr>
        <w:t>countries. In the UK,</w:t>
      </w:r>
      <w:r w:rsidR="00BF3964">
        <w:rPr>
          <w:rFonts w:ascii="Times New Roman" w:hAnsi="Times New Roman" w:cs="Times New Roman"/>
          <w:sz w:val="24"/>
          <w:szCs w:val="24"/>
          <w:lang w:val="en-US"/>
        </w:rPr>
        <w:t xml:space="preserve"> </w:t>
      </w:r>
      <w:r w:rsidR="006D501E" w:rsidRPr="006D501E">
        <w:rPr>
          <w:rFonts w:ascii="Times New Roman" w:hAnsi="Times New Roman" w:cs="Times New Roman"/>
          <w:sz w:val="24"/>
          <w:szCs w:val="24"/>
          <w:lang w:val="en-US"/>
        </w:rPr>
        <w:t>the delivery of services and support</w:t>
      </w:r>
      <w:r w:rsidR="003958D3">
        <w:rPr>
          <w:rFonts w:ascii="Times New Roman" w:hAnsi="Times New Roman" w:cs="Times New Roman"/>
          <w:sz w:val="24"/>
          <w:szCs w:val="24"/>
          <w:lang w:val="en-US"/>
        </w:rPr>
        <w:t xml:space="preserve"> </w:t>
      </w:r>
      <w:r w:rsidR="00BF3964">
        <w:rPr>
          <w:rFonts w:ascii="Times New Roman" w:hAnsi="Times New Roman" w:cs="Times New Roman"/>
          <w:sz w:val="24"/>
          <w:szCs w:val="24"/>
          <w:lang w:val="en-US"/>
        </w:rPr>
        <w:t>happens increasingly through the</w:t>
      </w:r>
      <w:r w:rsidR="006D501E" w:rsidRPr="006D501E">
        <w:rPr>
          <w:rFonts w:ascii="Times New Roman" w:hAnsi="Times New Roman" w:cs="Times New Roman"/>
          <w:sz w:val="24"/>
          <w:szCs w:val="24"/>
          <w:lang w:val="en-US"/>
        </w:rPr>
        <w:t xml:space="preserve"> private market</w:t>
      </w:r>
      <w:r w:rsidR="003958D3">
        <w:rPr>
          <w:rFonts w:ascii="Times New Roman" w:hAnsi="Times New Roman" w:cs="Times New Roman"/>
          <w:sz w:val="24"/>
          <w:szCs w:val="24"/>
          <w:lang w:val="en-US"/>
        </w:rPr>
        <w:t xml:space="preserve">, which means </w:t>
      </w:r>
      <w:r w:rsidR="006D501E" w:rsidRPr="006D501E">
        <w:rPr>
          <w:rFonts w:ascii="Times New Roman" w:hAnsi="Times New Roman" w:cs="Times New Roman"/>
          <w:sz w:val="24"/>
          <w:szCs w:val="24"/>
          <w:lang w:val="en-US"/>
        </w:rPr>
        <w:t>a shift in public-provided care to</w:t>
      </w:r>
      <w:r w:rsidR="005355F8">
        <w:rPr>
          <w:rFonts w:ascii="Times New Roman" w:hAnsi="Times New Roman" w:cs="Times New Roman"/>
          <w:sz w:val="24"/>
          <w:szCs w:val="24"/>
          <w:lang w:val="en-US"/>
        </w:rPr>
        <w:t xml:space="preserve"> provide</w:t>
      </w:r>
      <w:r w:rsidR="00054FDA">
        <w:rPr>
          <w:rFonts w:ascii="Times New Roman" w:hAnsi="Times New Roman" w:cs="Times New Roman"/>
          <w:sz w:val="24"/>
          <w:szCs w:val="24"/>
          <w:lang w:val="en-US"/>
        </w:rPr>
        <w:t xml:space="preserve"> greater personal choice (Mace</w:t>
      </w:r>
      <w:r w:rsidR="006D501E" w:rsidRPr="006D501E">
        <w:rPr>
          <w:rFonts w:ascii="Times New Roman" w:hAnsi="Times New Roman" w:cs="Times New Roman"/>
          <w:sz w:val="24"/>
          <w:szCs w:val="24"/>
          <w:lang w:val="en-US"/>
        </w:rPr>
        <w:t xml:space="preserve"> 2014).</w:t>
      </w:r>
      <w:r w:rsidR="00AA0F4F">
        <w:rPr>
          <w:rFonts w:ascii="Times New Roman" w:hAnsi="Times New Roman" w:cs="Times New Roman"/>
          <w:sz w:val="24"/>
          <w:szCs w:val="24"/>
          <w:lang w:val="en-US"/>
        </w:rPr>
        <w:t xml:space="preserve"> In addition, there has been a progressive devolution of powers to the Scottish, Welsh and Northern </w:t>
      </w:r>
      <w:r w:rsidR="00AA0F4F">
        <w:rPr>
          <w:rFonts w:ascii="Times New Roman" w:hAnsi="Times New Roman" w:cs="Times New Roman"/>
          <w:sz w:val="24"/>
          <w:szCs w:val="24"/>
          <w:lang w:val="en-US"/>
        </w:rPr>
        <w:lastRenderedPageBreak/>
        <w:t>Irish parliaments, which includes responsibilities over the health sector.</w:t>
      </w:r>
      <w:r w:rsidR="00BF4610">
        <w:rPr>
          <w:rFonts w:ascii="Times New Roman" w:hAnsi="Times New Roman" w:cs="Times New Roman"/>
          <w:sz w:val="24"/>
          <w:szCs w:val="24"/>
          <w:lang w:val="en-US"/>
        </w:rPr>
        <w:t xml:space="preserve"> The result is a high degree of fragme</w:t>
      </w:r>
      <w:r w:rsidR="000A3C2C">
        <w:rPr>
          <w:rFonts w:ascii="Times New Roman" w:hAnsi="Times New Roman" w:cs="Times New Roman"/>
          <w:sz w:val="24"/>
          <w:szCs w:val="24"/>
          <w:lang w:val="en-US"/>
        </w:rPr>
        <w:t>ntation, including large organiz</w:t>
      </w:r>
      <w:r w:rsidR="00BF4610">
        <w:rPr>
          <w:rFonts w:ascii="Times New Roman" w:hAnsi="Times New Roman" w:cs="Times New Roman"/>
          <w:sz w:val="24"/>
          <w:szCs w:val="24"/>
          <w:lang w:val="en-US"/>
        </w:rPr>
        <w:t xml:space="preserve">ations </w:t>
      </w:r>
      <w:r w:rsidR="000A3C2C">
        <w:rPr>
          <w:rFonts w:ascii="Times New Roman" w:hAnsi="Times New Roman" w:cs="Times New Roman"/>
          <w:sz w:val="24"/>
          <w:szCs w:val="24"/>
          <w:lang w:val="en-US"/>
        </w:rPr>
        <w:t>(particularly the state-run National Health Service (</w:t>
      </w:r>
      <w:r w:rsidR="0030595B">
        <w:rPr>
          <w:rFonts w:ascii="Times New Roman" w:hAnsi="Times New Roman" w:cs="Times New Roman"/>
          <w:sz w:val="24"/>
          <w:szCs w:val="24"/>
          <w:lang w:val="en-US"/>
        </w:rPr>
        <w:t>NHS</w:t>
      </w:r>
      <w:r w:rsidR="000A3C2C">
        <w:rPr>
          <w:rFonts w:ascii="Times New Roman" w:hAnsi="Times New Roman" w:cs="Times New Roman"/>
          <w:sz w:val="24"/>
          <w:szCs w:val="24"/>
          <w:lang w:val="en-US"/>
        </w:rPr>
        <w:t>)</w:t>
      </w:r>
      <w:r w:rsidR="0030595B">
        <w:rPr>
          <w:rFonts w:ascii="Times New Roman" w:hAnsi="Times New Roman" w:cs="Times New Roman"/>
          <w:sz w:val="24"/>
          <w:szCs w:val="24"/>
          <w:lang w:val="en-US"/>
        </w:rPr>
        <w:t>)</w:t>
      </w:r>
      <w:r w:rsidR="00991652">
        <w:rPr>
          <w:rFonts w:ascii="Times New Roman" w:hAnsi="Times New Roman" w:cs="Times New Roman"/>
          <w:sz w:val="24"/>
          <w:szCs w:val="24"/>
          <w:lang w:val="en-US"/>
        </w:rPr>
        <w:t xml:space="preserve"> </w:t>
      </w:r>
      <w:r w:rsidR="00BF4610">
        <w:rPr>
          <w:rFonts w:ascii="Times New Roman" w:hAnsi="Times New Roman" w:cs="Times New Roman"/>
          <w:sz w:val="24"/>
          <w:szCs w:val="24"/>
          <w:lang w:val="en-US"/>
        </w:rPr>
        <w:t>and a</w:t>
      </w:r>
      <w:r w:rsidR="000A3C2C">
        <w:rPr>
          <w:rFonts w:ascii="Times New Roman" w:hAnsi="Times New Roman" w:cs="Times New Roman"/>
          <w:sz w:val="24"/>
          <w:szCs w:val="24"/>
          <w:lang w:val="en-US"/>
        </w:rPr>
        <w:t xml:space="preserve"> multiplicity of smaller organiz</w:t>
      </w:r>
      <w:r w:rsidR="00BF4610">
        <w:rPr>
          <w:rFonts w:ascii="Times New Roman" w:hAnsi="Times New Roman" w:cs="Times New Roman"/>
          <w:sz w:val="24"/>
          <w:szCs w:val="24"/>
          <w:lang w:val="en-US"/>
        </w:rPr>
        <w:t xml:space="preserve">ations and agents from the public, private and not-for-profit sectors, operating at different geographical scales. </w:t>
      </w:r>
    </w:p>
    <w:p w14:paraId="3A1E9835" w14:textId="6B9C1458" w:rsidR="009D7FFD" w:rsidRDefault="009D7FFD" w:rsidP="006A4FD5">
      <w:pPr>
        <w:spacing w:after="120" w:line="480" w:lineRule="auto"/>
        <w:jc w:val="both"/>
        <w:rPr>
          <w:rFonts w:ascii="Times New Roman" w:hAnsi="Times New Roman" w:cs="Times New Roman"/>
          <w:sz w:val="24"/>
          <w:szCs w:val="24"/>
          <w:lang w:val="en-US"/>
        </w:rPr>
      </w:pPr>
      <w:r w:rsidRPr="009D7FFD">
        <w:rPr>
          <w:rFonts w:ascii="Times New Roman" w:hAnsi="Times New Roman" w:cs="Times New Roman"/>
          <w:sz w:val="24"/>
          <w:szCs w:val="24"/>
          <w:lang w:val="en-US"/>
        </w:rPr>
        <w:t xml:space="preserve">In contrast to the UK, health care services in Norway primarily continue to be delivered through the public sector, and with still limited, although growing involvement of the private sector. In this model of welfare delivery (often referred to as the Nordic model) it is natural for the public sector to take a lead role in processes of innovation in health care. Nonetheless, central features of the Norwegian governance structure relate to a strong division between sectors as well as the importance of autonomous local government. Since the introduction of a legal act on autonomous local government in 1837 there has been a strong tradition for a locally anchored governance structure in Norway. This characteristic presents challenges in terms of policy fragmentation and coordination across the current 426 municipalities and 19 county municipalities. We therefore </w:t>
      </w:r>
      <w:r w:rsidR="00E530DF" w:rsidRPr="009D7FFD">
        <w:rPr>
          <w:rFonts w:ascii="Times New Roman" w:hAnsi="Times New Roman" w:cs="Times New Roman"/>
          <w:sz w:val="24"/>
          <w:szCs w:val="24"/>
          <w:lang w:val="en-US"/>
        </w:rPr>
        <w:t xml:space="preserve">have </w:t>
      </w:r>
      <w:r w:rsidRPr="009D7FFD">
        <w:rPr>
          <w:rFonts w:ascii="Times New Roman" w:hAnsi="Times New Roman" w:cs="Times New Roman"/>
          <w:sz w:val="24"/>
          <w:szCs w:val="24"/>
          <w:lang w:val="en-US"/>
        </w:rPr>
        <w:t xml:space="preserve">two different contexts in regards to the importance and capacity of the public sector to act, though united in the persistence of fragmentation among its many partner </w:t>
      </w:r>
      <w:r w:rsidR="000A3C2C" w:rsidRPr="009D7FFD">
        <w:rPr>
          <w:rFonts w:ascii="Times New Roman" w:hAnsi="Times New Roman" w:cs="Times New Roman"/>
          <w:sz w:val="24"/>
          <w:szCs w:val="24"/>
          <w:lang w:val="en-US"/>
        </w:rPr>
        <w:t>organizations</w:t>
      </w:r>
      <w:r w:rsidRPr="009D7FFD">
        <w:rPr>
          <w:rFonts w:ascii="Times New Roman" w:hAnsi="Times New Roman" w:cs="Times New Roman"/>
          <w:sz w:val="24"/>
          <w:szCs w:val="24"/>
          <w:lang w:val="en-US"/>
        </w:rPr>
        <w:t>. This allows us to discuss the introduction of assisted living technologies, taking</w:t>
      </w:r>
      <w:r w:rsidR="009C772A">
        <w:rPr>
          <w:rFonts w:ascii="Times New Roman" w:hAnsi="Times New Roman" w:cs="Times New Roman"/>
          <w:sz w:val="24"/>
          <w:szCs w:val="24"/>
          <w:lang w:val="en-US"/>
        </w:rPr>
        <w:t xml:space="preserve"> </w:t>
      </w:r>
      <w:r w:rsidRPr="009D7FFD">
        <w:rPr>
          <w:rFonts w:ascii="Times New Roman" w:hAnsi="Times New Roman" w:cs="Times New Roman"/>
          <w:sz w:val="24"/>
          <w:szCs w:val="24"/>
          <w:lang w:val="en-US"/>
        </w:rPr>
        <w:t xml:space="preserve">into account the significant institutional differences between </w:t>
      </w:r>
      <w:r w:rsidR="009C772A">
        <w:rPr>
          <w:rFonts w:ascii="Times New Roman" w:hAnsi="Times New Roman" w:cs="Times New Roman"/>
          <w:sz w:val="24"/>
          <w:szCs w:val="24"/>
          <w:lang w:val="en-US"/>
        </w:rPr>
        <w:t>the two</w:t>
      </w:r>
      <w:r w:rsidRPr="009D7FFD">
        <w:rPr>
          <w:rFonts w:ascii="Times New Roman" w:hAnsi="Times New Roman" w:cs="Times New Roman"/>
          <w:sz w:val="24"/>
          <w:szCs w:val="24"/>
          <w:lang w:val="en-US"/>
        </w:rPr>
        <w:t xml:space="preserve"> countries. </w:t>
      </w:r>
    </w:p>
    <w:p w14:paraId="10FA6CD4" w14:textId="73F63A25" w:rsidR="00AA6522" w:rsidRDefault="00AA6522" w:rsidP="00DA712E">
      <w:pPr>
        <w:pStyle w:val="Heading3"/>
      </w:pPr>
      <w:r>
        <w:t>Assisted living in the UK</w:t>
      </w:r>
    </w:p>
    <w:p w14:paraId="08D81E36" w14:textId="61AB9288" w:rsidR="006D501E" w:rsidRDefault="006D501E" w:rsidP="006A4FD5">
      <w:pPr>
        <w:pStyle w:val="Default"/>
        <w:spacing w:after="240" w:line="480" w:lineRule="auto"/>
        <w:rPr>
          <w:rFonts w:ascii="Times New Roman" w:hAnsi="Times New Roman" w:cs="Times New Roman"/>
          <w:bCs/>
        </w:rPr>
      </w:pPr>
      <w:r>
        <w:rPr>
          <w:rFonts w:ascii="Times New Roman" w:hAnsi="Times New Roman" w:cs="Times New Roman"/>
          <w:bCs/>
        </w:rPr>
        <w:t xml:space="preserve">In the UK the main institution funding the development of new technology and innovation in the field of assisted living is called Innovate UK (previously the Technology Strategy Board). Innovate UK is an executive, non-departmental public body, sponsored by the Department for Business, Innovation and Skills (BIS). </w:t>
      </w:r>
      <w:r w:rsidRPr="00970A8F">
        <w:rPr>
          <w:rFonts w:ascii="Times New Roman" w:hAnsi="Times New Roman" w:cs="Times New Roman"/>
          <w:bCs/>
        </w:rPr>
        <w:t xml:space="preserve">It has since 2007 funded two major programmes in this area: </w:t>
      </w:r>
      <w:r w:rsidR="000A3C2C">
        <w:rPr>
          <w:rFonts w:ascii="Times New Roman" w:hAnsi="Times New Roman" w:cs="Times New Roman"/>
          <w:bCs/>
        </w:rPr>
        <w:t>t</w:t>
      </w:r>
      <w:r w:rsidRPr="00970A8F">
        <w:rPr>
          <w:rFonts w:ascii="Times New Roman" w:hAnsi="Times New Roman" w:cs="Times New Roman"/>
          <w:bCs/>
        </w:rPr>
        <w:t>he Assisted Living Innovation Platform between 2007 and 2012</w:t>
      </w:r>
      <w:r w:rsidR="00630747">
        <w:rPr>
          <w:rFonts w:ascii="Times New Roman" w:hAnsi="Times New Roman" w:cs="Times New Roman"/>
          <w:bCs/>
        </w:rPr>
        <w:t>,</w:t>
      </w:r>
      <w:r w:rsidRPr="00970A8F">
        <w:rPr>
          <w:rFonts w:ascii="Times New Roman" w:hAnsi="Times New Roman" w:cs="Times New Roman"/>
          <w:bCs/>
        </w:rPr>
        <w:t xml:space="preserve"> and the </w:t>
      </w:r>
      <w:r w:rsidR="000A3C2C">
        <w:rPr>
          <w:rFonts w:ascii="Times New Roman" w:hAnsi="Times New Roman" w:cs="Times New Roman"/>
          <w:bCs/>
        </w:rPr>
        <w:t>DALLAS</w:t>
      </w:r>
      <w:r w:rsidRPr="00970A8F">
        <w:rPr>
          <w:rFonts w:ascii="Times New Roman" w:hAnsi="Times New Roman" w:cs="Times New Roman"/>
          <w:bCs/>
        </w:rPr>
        <w:t xml:space="preserve"> between 2012 and 2015.</w:t>
      </w:r>
      <w:r w:rsidR="00221A81">
        <w:rPr>
          <w:rFonts w:ascii="Times New Roman" w:hAnsi="Times New Roman" w:cs="Times New Roman"/>
          <w:bCs/>
        </w:rPr>
        <w:t xml:space="preserve"> </w:t>
      </w:r>
      <w:r w:rsidR="00221A81" w:rsidRPr="004C4AB6">
        <w:rPr>
          <w:rFonts w:ascii="Times New Roman" w:hAnsi="Times New Roman" w:cs="Times New Roman"/>
          <w:bCs/>
        </w:rPr>
        <w:t>The latter is the one that we are using in this paper as a case study.</w:t>
      </w:r>
      <w:r w:rsidRPr="00970A8F">
        <w:rPr>
          <w:rFonts w:ascii="Times New Roman" w:hAnsi="Times New Roman" w:cs="Times New Roman"/>
          <w:bCs/>
        </w:rPr>
        <w:t xml:space="preserve"> </w:t>
      </w:r>
      <w:r w:rsidRPr="00970A8F">
        <w:rPr>
          <w:rFonts w:ascii="Times New Roman" w:hAnsi="Times New Roman" w:cs="Times New Roman"/>
          <w:bCs/>
        </w:rPr>
        <w:lastRenderedPageBreak/>
        <w:t>Additionally</w:t>
      </w:r>
      <w:r w:rsidR="00630747">
        <w:rPr>
          <w:rFonts w:ascii="Times New Roman" w:hAnsi="Times New Roman" w:cs="Times New Roman"/>
          <w:bCs/>
        </w:rPr>
        <w:t>,</w:t>
      </w:r>
      <w:r w:rsidRPr="00970A8F">
        <w:rPr>
          <w:rFonts w:ascii="Times New Roman" w:hAnsi="Times New Roman" w:cs="Times New Roman"/>
          <w:bCs/>
        </w:rPr>
        <w:t xml:space="preserve"> </w:t>
      </w:r>
      <w:r w:rsidR="00221A81">
        <w:rPr>
          <w:rFonts w:ascii="Times New Roman" w:hAnsi="Times New Roman" w:cs="Times New Roman"/>
          <w:bCs/>
        </w:rPr>
        <w:t>Innovate UK</w:t>
      </w:r>
      <w:r w:rsidRPr="00970A8F">
        <w:rPr>
          <w:rFonts w:ascii="Times New Roman" w:hAnsi="Times New Roman" w:cs="Times New Roman"/>
          <w:bCs/>
        </w:rPr>
        <w:t xml:space="preserve"> ha</w:t>
      </w:r>
      <w:r w:rsidR="00221A81">
        <w:rPr>
          <w:rFonts w:ascii="Times New Roman" w:hAnsi="Times New Roman" w:cs="Times New Roman"/>
          <w:bCs/>
        </w:rPr>
        <w:t>s</w:t>
      </w:r>
      <w:r w:rsidRPr="00970A8F">
        <w:rPr>
          <w:rFonts w:ascii="Times New Roman" w:hAnsi="Times New Roman" w:cs="Times New Roman"/>
          <w:bCs/>
        </w:rPr>
        <w:t xml:space="preserve"> funded other smaller projects in the area of assisted living through </w:t>
      </w:r>
      <w:r w:rsidR="00630747">
        <w:rPr>
          <w:rFonts w:ascii="Times New Roman" w:hAnsi="Times New Roman" w:cs="Times New Roman"/>
          <w:bCs/>
        </w:rPr>
        <w:t>various</w:t>
      </w:r>
      <w:r w:rsidRPr="00970A8F">
        <w:rPr>
          <w:rFonts w:ascii="Times New Roman" w:hAnsi="Times New Roman" w:cs="Times New Roman"/>
          <w:bCs/>
        </w:rPr>
        <w:t xml:space="preserve"> funding streams.</w:t>
      </w:r>
      <w:r w:rsidR="00B838C6">
        <w:rPr>
          <w:rFonts w:ascii="Times New Roman" w:hAnsi="Times New Roman" w:cs="Times New Roman"/>
          <w:bCs/>
        </w:rPr>
        <w:t xml:space="preserve"> </w:t>
      </w:r>
    </w:p>
    <w:p w14:paraId="3F8C8A57" w14:textId="0E59B333" w:rsidR="00FC7CE0" w:rsidRDefault="00DA33CF" w:rsidP="00DA712E">
      <w:pPr>
        <w:pStyle w:val="Default"/>
        <w:spacing w:after="240" w:line="480" w:lineRule="auto"/>
      </w:pPr>
      <w:r>
        <w:rPr>
          <w:rFonts w:ascii="Times New Roman" w:hAnsi="Times New Roman" w:cs="Times New Roman"/>
        </w:rPr>
        <w:t>Both programmes are part o</w:t>
      </w:r>
      <w:r w:rsidR="006D501E" w:rsidRPr="007C5ACE">
        <w:rPr>
          <w:rFonts w:ascii="Times New Roman" w:hAnsi="Times New Roman" w:cs="Times New Roman"/>
        </w:rPr>
        <w:t>f a series of</w:t>
      </w:r>
      <w:r>
        <w:rPr>
          <w:rFonts w:ascii="Times New Roman" w:hAnsi="Times New Roman" w:cs="Times New Roman"/>
        </w:rPr>
        <w:t xml:space="preserve"> i</w:t>
      </w:r>
      <w:r w:rsidR="006D501E" w:rsidRPr="007C5ACE">
        <w:rPr>
          <w:rFonts w:ascii="Times New Roman" w:hAnsi="Times New Roman" w:cs="Times New Roman"/>
        </w:rPr>
        <w:t xml:space="preserve">nnovation </w:t>
      </w:r>
      <w:r>
        <w:rPr>
          <w:rFonts w:ascii="Times New Roman" w:hAnsi="Times New Roman" w:cs="Times New Roman"/>
        </w:rPr>
        <w:t>p</w:t>
      </w:r>
      <w:r w:rsidR="006D501E" w:rsidRPr="007C5ACE">
        <w:rPr>
          <w:rFonts w:ascii="Times New Roman" w:hAnsi="Times New Roman" w:cs="Times New Roman"/>
        </w:rPr>
        <w:t xml:space="preserve">latforms that </w:t>
      </w:r>
      <w:r w:rsidR="003D788E">
        <w:rPr>
          <w:rFonts w:ascii="Times New Roman" w:hAnsi="Times New Roman" w:cs="Times New Roman"/>
        </w:rPr>
        <w:t xml:space="preserve">Innovate UK </w:t>
      </w:r>
      <w:r w:rsidR="006D501E" w:rsidRPr="007C5ACE">
        <w:rPr>
          <w:rFonts w:ascii="Times New Roman" w:hAnsi="Times New Roman" w:cs="Times New Roman"/>
        </w:rPr>
        <w:t>has created</w:t>
      </w:r>
      <w:r>
        <w:rPr>
          <w:rFonts w:ascii="Times New Roman" w:hAnsi="Times New Roman" w:cs="Times New Roman"/>
        </w:rPr>
        <w:t>,</w:t>
      </w:r>
      <w:r w:rsidR="006D501E" w:rsidRPr="007C5ACE">
        <w:rPr>
          <w:rFonts w:ascii="Times New Roman" w:hAnsi="Times New Roman" w:cs="Times New Roman"/>
        </w:rPr>
        <w:t xml:space="preserve"> to foster innovation ecosystems in key sectors, where the challenges are both </w:t>
      </w:r>
      <w:r w:rsidR="00306C20" w:rsidRPr="007C5ACE">
        <w:rPr>
          <w:rFonts w:ascii="Times New Roman" w:hAnsi="Times New Roman" w:cs="Times New Roman"/>
        </w:rPr>
        <w:t xml:space="preserve">technological and </w:t>
      </w:r>
      <w:r w:rsidR="006D501E" w:rsidRPr="007C5ACE">
        <w:rPr>
          <w:rFonts w:ascii="Times New Roman" w:hAnsi="Times New Roman" w:cs="Times New Roman"/>
        </w:rPr>
        <w:t>institutional</w:t>
      </w:r>
      <w:r w:rsidR="006D6EBF">
        <w:rPr>
          <w:rFonts w:ascii="Times New Roman" w:hAnsi="Times New Roman" w:cs="Times New Roman"/>
        </w:rPr>
        <w:t>. These platforms</w:t>
      </w:r>
      <w:r w:rsidR="006D501E" w:rsidRPr="007C5ACE">
        <w:rPr>
          <w:rFonts w:ascii="Times New Roman" w:hAnsi="Times New Roman" w:cs="Times New Roman"/>
        </w:rPr>
        <w:t xml:space="preserve"> are designed to be “safe spaces”</w:t>
      </w:r>
      <w:r w:rsidR="005D3552" w:rsidRPr="007C5ACE">
        <w:rPr>
          <w:rFonts w:ascii="Times New Roman" w:hAnsi="Times New Roman" w:cs="Times New Roman"/>
        </w:rPr>
        <w:t xml:space="preserve"> (or niche experiments)</w:t>
      </w:r>
      <w:r w:rsidR="006D501E" w:rsidRPr="007C5ACE">
        <w:rPr>
          <w:rFonts w:ascii="Times New Roman" w:hAnsi="Times New Roman" w:cs="Times New Roman"/>
        </w:rPr>
        <w:t xml:space="preserve"> where businesses, universities, governments and user communities can collaborate for mutually beneficial ends. </w:t>
      </w:r>
      <w:r w:rsidR="006D501E" w:rsidRPr="007F414B">
        <w:t xml:space="preserve">The DALLAS programme was </w:t>
      </w:r>
      <w:r w:rsidR="007A446C" w:rsidRPr="007F414B">
        <w:t>relatively unique as an instrument to stimulate innovation</w:t>
      </w:r>
      <w:r w:rsidR="00504B84" w:rsidRPr="007F414B">
        <w:t>,</w:t>
      </w:r>
      <w:r w:rsidR="006D501E" w:rsidRPr="007F414B">
        <w:t xml:space="preserve"> because it was </w:t>
      </w:r>
      <w:r w:rsidR="006D501E" w:rsidRPr="007F414B">
        <w:rPr>
          <w:i/>
        </w:rPr>
        <w:t>not</w:t>
      </w:r>
      <w:r w:rsidR="006D501E" w:rsidRPr="007F414B">
        <w:t xml:space="preserve"> intended to finance new technological development, but rather to upscale existing technologies.</w:t>
      </w:r>
      <w:r w:rsidR="004C4AB6">
        <w:t xml:space="preserve"> Upscaling in this context does not refer to national or system wide deployment, but rather increasing the number of users utili</w:t>
      </w:r>
      <w:r w:rsidR="000A3C2C">
        <w:t>z</w:t>
      </w:r>
      <w:r w:rsidR="004C4AB6">
        <w:t>ing an existing technology.</w:t>
      </w:r>
      <w:r w:rsidR="00504B84" w:rsidRPr="007F414B">
        <w:t xml:space="preserve"> It was therefore about creating ‘shielded’ and ‘nurturing’ environments, supported by local community groups and public financing, that would </w:t>
      </w:r>
      <w:r w:rsidR="00390491">
        <w:t>in theory</w:t>
      </w:r>
      <w:r w:rsidR="00504B84" w:rsidRPr="007F414B">
        <w:t xml:space="preserve"> help to ‘empower’ new technological solutions. </w:t>
      </w:r>
      <w:r w:rsidR="00885981">
        <w:t xml:space="preserve">In doing so, it </w:t>
      </w:r>
      <w:r w:rsidR="006D501E" w:rsidRPr="007F414B">
        <w:t xml:space="preserve">put emphasis on the importance of building new relationships between stakeholders and on creating solutions that include end users through co-design. </w:t>
      </w:r>
    </w:p>
    <w:p w14:paraId="53149333" w14:textId="26F424D3" w:rsidR="00CF353C" w:rsidRDefault="004D3E12" w:rsidP="006A4FD5">
      <w:pPr>
        <w:spacing w:after="240" w:line="480" w:lineRule="auto"/>
        <w:rPr>
          <w:rFonts w:ascii="Times New Roman" w:hAnsi="Times New Roman" w:cs="Times New Roman"/>
          <w:sz w:val="24"/>
          <w:szCs w:val="24"/>
        </w:rPr>
      </w:pPr>
      <w:r w:rsidRPr="004D3E12">
        <w:rPr>
          <w:rFonts w:ascii="Times New Roman" w:hAnsi="Times New Roman" w:cs="Times New Roman"/>
          <w:sz w:val="24"/>
          <w:szCs w:val="24"/>
        </w:rPr>
        <w:t>F</w:t>
      </w:r>
      <w:r w:rsidR="000A3C2C">
        <w:rPr>
          <w:rFonts w:ascii="Times New Roman" w:hAnsi="Times New Roman" w:cs="Times New Roman"/>
          <w:sz w:val="24"/>
          <w:szCs w:val="24"/>
        </w:rPr>
        <w:t>rom an analytical perspective, t</w:t>
      </w:r>
      <w:r w:rsidRPr="004D3E12">
        <w:rPr>
          <w:rFonts w:ascii="Times New Roman" w:hAnsi="Times New Roman" w:cs="Times New Roman"/>
          <w:sz w:val="24"/>
          <w:szCs w:val="24"/>
        </w:rPr>
        <w:t>he DALLAS programme is an example of how a large organi</w:t>
      </w:r>
      <w:r w:rsidR="000A3C2C">
        <w:rPr>
          <w:rFonts w:ascii="Times New Roman" w:hAnsi="Times New Roman" w:cs="Times New Roman"/>
          <w:sz w:val="24"/>
          <w:szCs w:val="24"/>
        </w:rPr>
        <w:t>z</w:t>
      </w:r>
      <w:r w:rsidRPr="004D3E12">
        <w:rPr>
          <w:rFonts w:ascii="Times New Roman" w:hAnsi="Times New Roman" w:cs="Times New Roman"/>
          <w:sz w:val="24"/>
          <w:szCs w:val="24"/>
        </w:rPr>
        <w:t xml:space="preserve">ation (Innovate UK) </w:t>
      </w:r>
      <w:r>
        <w:rPr>
          <w:rFonts w:ascii="Times New Roman" w:hAnsi="Times New Roman" w:cs="Times New Roman"/>
          <w:sz w:val="24"/>
          <w:szCs w:val="24"/>
        </w:rPr>
        <w:t>can use its resources to support</w:t>
      </w:r>
      <w:r w:rsidRPr="004D3E12">
        <w:rPr>
          <w:rFonts w:ascii="Times New Roman" w:hAnsi="Times New Roman" w:cs="Times New Roman"/>
          <w:sz w:val="24"/>
          <w:szCs w:val="24"/>
        </w:rPr>
        <w:t xml:space="preserve"> niche activity that has the potential to address some systemic failures</w:t>
      </w:r>
      <w:r w:rsidR="000F57F3">
        <w:rPr>
          <w:rFonts w:ascii="Times New Roman" w:hAnsi="Times New Roman" w:cs="Times New Roman"/>
          <w:sz w:val="24"/>
          <w:szCs w:val="24"/>
        </w:rPr>
        <w:t xml:space="preserve"> (see table 1 for a summary of results regarding </w:t>
      </w:r>
      <w:r w:rsidR="000A3C2C">
        <w:rPr>
          <w:rFonts w:ascii="Times New Roman" w:hAnsi="Times New Roman" w:cs="Times New Roman"/>
          <w:sz w:val="24"/>
          <w:szCs w:val="24"/>
        </w:rPr>
        <w:t>SNM</w:t>
      </w:r>
      <w:r w:rsidR="000F57F3">
        <w:rPr>
          <w:rFonts w:ascii="Times New Roman" w:hAnsi="Times New Roman" w:cs="Times New Roman"/>
          <w:sz w:val="24"/>
          <w:szCs w:val="24"/>
        </w:rPr>
        <w:t>)</w:t>
      </w:r>
      <w:r w:rsidRPr="004D3E12">
        <w:rPr>
          <w:rFonts w:ascii="Times New Roman" w:hAnsi="Times New Roman" w:cs="Times New Roman"/>
          <w:sz w:val="24"/>
          <w:szCs w:val="24"/>
        </w:rPr>
        <w:t>.</w:t>
      </w:r>
      <w:r>
        <w:rPr>
          <w:rFonts w:ascii="Times New Roman" w:hAnsi="Times New Roman" w:cs="Times New Roman"/>
          <w:sz w:val="24"/>
          <w:szCs w:val="24"/>
        </w:rPr>
        <w:t xml:space="preserve"> The level of funding and the time span of three years, created a shielded </w:t>
      </w:r>
      <w:r w:rsidR="00390491">
        <w:rPr>
          <w:rFonts w:ascii="Times New Roman" w:hAnsi="Times New Roman" w:cs="Times New Roman"/>
          <w:sz w:val="24"/>
          <w:szCs w:val="24"/>
        </w:rPr>
        <w:t xml:space="preserve">and nurturing </w:t>
      </w:r>
      <w:r w:rsidR="000A3C2C">
        <w:rPr>
          <w:rFonts w:ascii="Times New Roman" w:hAnsi="Times New Roman" w:cs="Times New Roman"/>
          <w:sz w:val="24"/>
          <w:szCs w:val="24"/>
        </w:rPr>
        <w:t>environment where organiz</w:t>
      </w:r>
      <w:r>
        <w:rPr>
          <w:rFonts w:ascii="Times New Roman" w:hAnsi="Times New Roman" w:cs="Times New Roman"/>
          <w:sz w:val="24"/>
          <w:szCs w:val="24"/>
        </w:rPr>
        <w:t xml:space="preserve">ations could </w:t>
      </w:r>
      <w:r w:rsidR="009D7FFD">
        <w:rPr>
          <w:rFonts w:ascii="Times New Roman" w:hAnsi="Times New Roman" w:cs="Times New Roman"/>
          <w:sz w:val="24"/>
          <w:szCs w:val="24"/>
        </w:rPr>
        <w:t>adopt</w:t>
      </w:r>
      <w:r>
        <w:rPr>
          <w:rFonts w:ascii="Times New Roman" w:hAnsi="Times New Roman" w:cs="Times New Roman"/>
          <w:sz w:val="24"/>
          <w:szCs w:val="24"/>
        </w:rPr>
        <w:t xml:space="preserve"> ambitious co-design, or user-led design projects. The latter were </w:t>
      </w:r>
      <w:r w:rsidR="00C732C6">
        <w:rPr>
          <w:rFonts w:ascii="Times New Roman" w:hAnsi="Times New Roman" w:cs="Times New Roman"/>
          <w:sz w:val="24"/>
          <w:szCs w:val="24"/>
        </w:rPr>
        <w:t>based on the ambitious target</w:t>
      </w:r>
      <w:r w:rsidR="00C732C6" w:rsidRPr="007F414B">
        <w:rPr>
          <w:rFonts w:ascii="Times New Roman" w:hAnsi="Times New Roman" w:cs="Times New Roman"/>
          <w:sz w:val="24"/>
          <w:szCs w:val="24"/>
        </w:rPr>
        <w:t xml:space="preserve"> </w:t>
      </w:r>
      <w:r w:rsidR="00C732C6">
        <w:rPr>
          <w:rFonts w:ascii="Times New Roman" w:hAnsi="Times New Roman" w:cs="Times New Roman"/>
          <w:sz w:val="24"/>
          <w:szCs w:val="24"/>
        </w:rPr>
        <w:t>o</w:t>
      </w:r>
      <w:r w:rsidR="00C921CD">
        <w:rPr>
          <w:rFonts w:ascii="Times New Roman" w:hAnsi="Times New Roman" w:cs="Times New Roman"/>
          <w:sz w:val="24"/>
          <w:szCs w:val="24"/>
        </w:rPr>
        <w:t>f</w:t>
      </w:r>
      <w:r w:rsidR="00C732C6">
        <w:rPr>
          <w:rFonts w:ascii="Times New Roman" w:hAnsi="Times New Roman" w:cs="Times New Roman"/>
          <w:sz w:val="24"/>
          <w:szCs w:val="24"/>
        </w:rPr>
        <w:t xml:space="preserve"> </w:t>
      </w:r>
      <w:r w:rsidR="00C732C6" w:rsidRPr="007F414B">
        <w:rPr>
          <w:rFonts w:ascii="Times New Roman" w:hAnsi="Times New Roman" w:cs="Times New Roman"/>
          <w:sz w:val="24"/>
          <w:szCs w:val="24"/>
        </w:rPr>
        <w:t>involving</w:t>
      </w:r>
      <w:r w:rsidR="006D501E" w:rsidRPr="007F414B">
        <w:rPr>
          <w:rFonts w:ascii="Times New Roman" w:hAnsi="Times New Roman" w:cs="Times New Roman"/>
          <w:sz w:val="24"/>
          <w:szCs w:val="24"/>
        </w:rPr>
        <w:t xml:space="preserve"> </w:t>
      </w:r>
      <w:r w:rsidR="000A21B1" w:rsidRPr="007F414B">
        <w:rPr>
          <w:rFonts w:ascii="Times New Roman" w:hAnsi="Times New Roman" w:cs="Times New Roman"/>
          <w:sz w:val="24"/>
          <w:szCs w:val="24"/>
        </w:rPr>
        <w:t>over 100,000</w:t>
      </w:r>
      <w:r w:rsidR="006D501E" w:rsidRPr="007F414B">
        <w:rPr>
          <w:rFonts w:ascii="Times New Roman" w:hAnsi="Times New Roman" w:cs="Times New Roman"/>
          <w:sz w:val="24"/>
          <w:szCs w:val="24"/>
        </w:rPr>
        <w:t xml:space="preserve"> end-users</w:t>
      </w:r>
      <w:r w:rsidR="000A21B1" w:rsidRPr="007F414B">
        <w:rPr>
          <w:rFonts w:ascii="Times New Roman" w:hAnsi="Times New Roman" w:cs="Times New Roman"/>
          <w:sz w:val="24"/>
          <w:szCs w:val="24"/>
        </w:rPr>
        <w:t xml:space="preserve"> across the 4 projects</w:t>
      </w:r>
      <w:r w:rsidR="006D501E" w:rsidRPr="007F414B">
        <w:rPr>
          <w:rFonts w:ascii="Times New Roman" w:hAnsi="Times New Roman" w:cs="Times New Roman"/>
          <w:sz w:val="24"/>
          <w:szCs w:val="24"/>
        </w:rPr>
        <w:t xml:space="preserve">, </w:t>
      </w:r>
      <w:r w:rsidR="00C732C6">
        <w:rPr>
          <w:rFonts w:ascii="Times New Roman" w:hAnsi="Times New Roman" w:cs="Times New Roman"/>
          <w:sz w:val="24"/>
          <w:szCs w:val="24"/>
        </w:rPr>
        <w:t xml:space="preserve">plus </w:t>
      </w:r>
      <w:r w:rsidR="006D501E" w:rsidRPr="007F414B">
        <w:rPr>
          <w:rFonts w:ascii="Times New Roman" w:hAnsi="Times New Roman" w:cs="Times New Roman"/>
          <w:sz w:val="24"/>
          <w:szCs w:val="24"/>
        </w:rPr>
        <w:t>clinicians, health</w:t>
      </w:r>
      <w:r w:rsidR="000A3C2C">
        <w:rPr>
          <w:rFonts w:ascii="Times New Roman" w:hAnsi="Times New Roman" w:cs="Times New Roman"/>
          <w:sz w:val="24"/>
          <w:szCs w:val="24"/>
        </w:rPr>
        <w:t xml:space="preserve"> experts, carers, health organiz</w:t>
      </w:r>
      <w:r w:rsidR="006D501E" w:rsidRPr="007F414B">
        <w:rPr>
          <w:rFonts w:ascii="Times New Roman" w:hAnsi="Times New Roman" w:cs="Times New Roman"/>
          <w:sz w:val="24"/>
          <w:szCs w:val="24"/>
        </w:rPr>
        <w:t xml:space="preserve">ations, SMEs and other relevant stakeholders in the design and delivery of new products services. This strategy </w:t>
      </w:r>
      <w:r w:rsidR="00C732C6">
        <w:rPr>
          <w:rFonts w:ascii="Times New Roman" w:hAnsi="Times New Roman" w:cs="Times New Roman"/>
          <w:sz w:val="24"/>
          <w:szCs w:val="24"/>
        </w:rPr>
        <w:t>was designed</w:t>
      </w:r>
      <w:r w:rsidR="00C732C6" w:rsidRPr="007F414B">
        <w:rPr>
          <w:rFonts w:ascii="Times New Roman" w:hAnsi="Times New Roman" w:cs="Times New Roman"/>
          <w:sz w:val="24"/>
          <w:szCs w:val="24"/>
        </w:rPr>
        <w:t xml:space="preserve"> </w:t>
      </w:r>
      <w:r w:rsidR="006D501E" w:rsidRPr="007F414B">
        <w:rPr>
          <w:rFonts w:ascii="Times New Roman" w:hAnsi="Times New Roman" w:cs="Times New Roman"/>
          <w:sz w:val="24"/>
          <w:szCs w:val="24"/>
        </w:rPr>
        <w:t>to ensure that the outputs were aligned with user needs,</w:t>
      </w:r>
      <w:r w:rsidR="00C732C6">
        <w:rPr>
          <w:rFonts w:ascii="Times New Roman" w:hAnsi="Times New Roman" w:cs="Times New Roman"/>
          <w:sz w:val="24"/>
          <w:szCs w:val="24"/>
        </w:rPr>
        <w:t xml:space="preserve"> that they</w:t>
      </w:r>
      <w:r w:rsidR="006D501E" w:rsidRPr="007F414B">
        <w:rPr>
          <w:rFonts w:ascii="Times New Roman" w:hAnsi="Times New Roman" w:cs="Times New Roman"/>
          <w:sz w:val="24"/>
          <w:szCs w:val="24"/>
        </w:rPr>
        <w:t xml:space="preserve"> helped to redu</w:t>
      </w:r>
      <w:r w:rsidR="000A3C2C">
        <w:rPr>
          <w:rFonts w:ascii="Times New Roman" w:hAnsi="Times New Roman" w:cs="Times New Roman"/>
          <w:sz w:val="24"/>
          <w:szCs w:val="24"/>
        </w:rPr>
        <w:t>ce scepticism towards their use</w:t>
      </w:r>
      <w:r w:rsidR="006D501E" w:rsidRPr="007F414B">
        <w:rPr>
          <w:rFonts w:ascii="Times New Roman" w:hAnsi="Times New Roman" w:cs="Times New Roman"/>
          <w:sz w:val="24"/>
          <w:szCs w:val="24"/>
        </w:rPr>
        <w:t xml:space="preserve"> and helped to encourage health professionals to change </w:t>
      </w:r>
      <w:r w:rsidR="006D501E" w:rsidRPr="007F414B">
        <w:rPr>
          <w:rFonts w:ascii="Times New Roman" w:hAnsi="Times New Roman" w:cs="Times New Roman"/>
          <w:sz w:val="24"/>
          <w:szCs w:val="24"/>
        </w:rPr>
        <w:lastRenderedPageBreak/>
        <w:t>their practices and to consider the prescription of these technologies as part of their daily routine.</w:t>
      </w:r>
      <w:r>
        <w:rPr>
          <w:rFonts w:ascii="Times New Roman" w:hAnsi="Times New Roman" w:cs="Times New Roman"/>
          <w:sz w:val="24"/>
          <w:szCs w:val="24"/>
        </w:rPr>
        <w:t xml:space="preserve"> The shielding is ensured by protecting the project from selection mechanisms, either in the market or </w:t>
      </w:r>
      <w:r w:rsidR="000A3C2C">
        <w:rPr>
          <w:rFonts w:ascii="Times New Roman" w:hAnsi="Times New Roman" w:cs="Times New Roman"/>
          <w:sz w:val="24"/>
          <w:szCs w:val="24"/>
        </w:rPr>
        <w:t xml:space="preserve">in </w:t>
      </w:r>
      <w:r>
        <w:rPr>
          <w:rFonts w:ascii="Times New Roman" w:hAnsi="Times New Roman" w:cs="Times New Roman"/>
          <w:sz w:val="24"/>
          <w:szCs w:val="24"/>
        </w:rPr>
        <w:t xml:space="preserve">the public sector bureaucracy, at least for the period of its duration. </w:t>
      </w:r>
    </w:p>
    <w:p w14:paraId="1A117265" w14:textId="425EC656" w:rsidR="009D7FFD" w:rsidRDefault="0045763F" w:rsidP="00DA712E">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rPr>
        <w:t>The DALLAS project relied heavily upon a market based approach</w:t>
      </w:r>
      <w:r w:rsidR="004C4AB6">
        <w:rPr>
          <w:rFonts w:ascii="Times New Roman" w:hAnsi="Times New Roman" w:cs="Times New Roman"/>
          <w:sz w:val="24"/>
          <w:szCs w:val="24"/>
        </w:rPr>
        <w:t>, which adds to the</w:t>
      </w:r>
      <w:r>
        <w:rPr>
          <w:rFonts w:ascii="Times New Roman" w:hAnsi="Times New Roman" w:cs="Times New Roman"/>
          <w:sz w:val="24"/>
          <w:szCs w:val="24"/>
        </w:rPr>
        <w:t xml:space="preserve"> </w:t>
      </w:r>
      <w:r w:rsidR="00FC7CE0">
        <w:rPr>
          <w:rFonts w:ascii="Times New Roman" w:hAnsi="Times New Roman" w:cs="Times New Roman"/>
          <w:sz w:val="24"/>
          <w:szCs w:val="24"/>
          <w:lang w:val="en-US"/>
        </w:rPr>
        <w:t>multiple, and often contradictory, processes of decentralization and outsourcing to the private or third sectors</w:t>
      </w:r>
      <w:r w:rsidR="004C4AB6">
        <w:rPr>
          <w:rFonts w:ascii="Times New Roman" w:hAnsi="Times New Roman" w:cs="Times New Roman"/>
          <w:sz w:val="24"/>
          <w:szCs w:val="24"/>
          <w:lang w:val="en-US"/>
        </w:rPr>
        <w:t xml:space="preserve"> that characterizes the UK health system</w:t>
      </w:r>
      <w:r w:rsidR="00FC7CE0">
        <w:rPr>
          <w:rFonts w:ascii="Times New Roman" w:hAnsi="Times New Roman" w:cs="Times New Roman"/>
          <w:sz w:val="24"/>
          <w:szCs w:val="24"/>
          <w:lang w:val="en-US"/>
        </w:rPr>
        <w:t xml:space="preserve">. This outsourcing, which happened in this programme through a call for tender to which external </w:t>
      </w:r>
      <w:r w:rsidR="000A3C2C">
        <w:rPr>
          <w:rFonts w:ascii="Times New Roman" w:hAnsi="Times New Roman" w:cs="Times New Roman"/>
          <w:sz w:val="24"/>
          <w:szCs w:val="24"/>
          <w:lang w:val="en-US"/>
        </w:rPr>
        <w:t>organizations</w:t>
      </w:r>
      <w:r w:rsidR="00FC7CE0">
        <w:rPr>
          <w:rFonts w:ascii="Times New Roman" w:hAnsi="Times New Roman" w:cs="Times New Roman"/>
          <w:sz w:val="24"/>
          <w:szCs w:val="24"/>
          <w:lang w:val="en-US"/>
        </w:rPr>
        <w:t xml:space="preserve"> replied, means that the state does not commit to upscaling successful technologies at a later </w:t>
      </w:r>
      <w:r w:rsidR="00AA6522">
        <w:rPr>
          <w:rFonts w:ascii="Times New Roman" w:hAnsi="Times New Roman" w:cs="Times New Roman"/>
          <w:sz w:val="24"/>
          <w:szCs w:val="24"/>
          <w:lang w:val="en-US"/>
        </w:rPr>
        <w:t>stage</w:t>
      </w:r>
      <w:r w:rsidR="004C4AB6">
        <w:rPr>
          <w:rFonts w:ascii="Times New Roman" w:hAnsi="Times New Roman" w:cs="Times New Roman"/>
          <w:sz w:val="24"/>
          <w:szCs w:val="24"/>
          <w:lang w:val="en-US"/>
        </w:rPr>
        <w:t xml:space="preserve"> to the national level</w:t>
      </w:r>
      <w:r w:rsidR="00FC7CE0">
        <w:rPr>
          <w:rFonts w:ascii="Times New Roman" w:hAnsi="Times New Roman" w:cs="Times New Roman"/>
          <w:sz w:val="24"/>
          <w:szCs w:val="24"/>
          <w:lang w:val="en-US"/>
        </w:rPr>
        <w:t>. In turn, the expectation is that if these technologies are indeed suc</w:t>
      </w:r>
      <w:r w:rsidR="00AA6522">
        <w:rPr>
          <w:rFonts w:ascii="Times New Roman" w:hAnsi="Times New Roman" w:cs="Times New Roman"/>
          <w:sz w:val="24"/>
          <w:szCs w:val="24"/>
          <w:lang w:val="en-US"/>
        </w:rPr>
        <w:t>c</w:t>
      </w:r>
      <w:r w:rsidR="00FC7CE0">
        <w:rPr>
          <w:rFonts w:ascii="Times New Roman" w:hAnsi="Times New Roman" w:cs="Times New Roman"/>
          <w:sz w:val="24"/>
          <w:szCs w:val="24"/>
          <w:lang w:val="en-US"/>
        </w:rPr>
        <w:t>es</w:t>
      </w:r>
      <w:r w:rsidR="00AA6522">
        <w:rPr>
          <w:rFonts w:ascii="Times New Roman" w:hAnsi="Times New Roman" w:cs="Times New Roman"/>
          <w:sz w:val="24"/>
          <w:szCs w:val="24"/>
          <w:lang w:val="en-US"/>
        </w:rPr>
        <w:t>s</w:t>
      </w:r>
      <w:r w:rsidR="00FC7CE0">
        <w:rPr>
          <w:rFonts w:ascii="Times New Roman" w:hAnsi="Times New Roman" w:cs="Times New Roman"/>
          <w:sz w:val="24"/>
          <w:szCs w:val="24"/>
          <w:lang w:val="en-US"/>
        </w:rPr>
        <w:t xml:space="preserve">ful, they should become dominant through market selection mechanisms. </w:t>
      </w:r>
    </w:p>
    <w:p w14:paraId="5BBDE542" w14:textId="77777777" w:rsidR="004C4AB6" w:rsidRDefault="004C4AB6" w:rsidP="00DA712E">
      <w:pPr>
        <w:spacing w:after="120" w:line="480" w:lineRule="auto"/>
        <w:jc w:val="both"/>
        <w:rPr>
          <w:rFonts w:ascii="Times New Roman" w:hAnsi="Times New Roman" w:cs="Times New Roman"/>
          <w:sz w:val="24"/>
          <w:szCs w:val="24"/>
        </w:rPr>
      </w:pPr>
    </w:p>
    <w:p w14:paraId="7D0C0453" w14:textId="77777777" w:rsidR="009D7FFD" w:rsidRDefault="009D7FFD" w:rsidP="009D7FFD">
      <w:pPr>
        <w:spacing w:after="240" w:line="480" w:lineRule="auto"/>
        <w:rPr>
          <w:rFonts w:ascii="Times New Roman" w:hAnsi="Times New Roman" w:cs="Times New Roman"/>
          <w:sz w:val="24"/>
          <w:szCs w:val="24"/>
        </w:rPr>
      </w:pPr>
      <w:r>
        <w:rPr>
          <w:rFonts w:ascii="Times New Roman" w:hAnsi="Times New Roman" w:cs="Times New Roman"/>
          <w:sz w:val="24"/>
          <w:szCs w:val="24"/>
        </w:rPr>
        <w:t>Table 1 here</w:t>
      </w:r>
    </w:p>
    <w:p w14:paraId="672E017A" w14:textId="229294B4" w:rsidR="009D7FFD" w:rsidRDefault="00C85FA3" w:rsidP="00DA712E">
      <w:pPr>
        <w:pStyle w:val="Heading3"/>
      </w:pPr>
      <w:r>
        <w:t>Assisted living in Norway</w:t>
      </w:r>
    </w:p>
    <w:p w14:paraId="41A6BAE3" w14:textId="61FB4682" w:rsidR="00085C51" w:rsidRPr="002D39BE" w:rsidRDefault="00085C51" w:rsidP="00085C51">
      <w:pPr>
        <w:spacing w:after="240" w:line="480" w:lineRule="auto"/>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The case study discussed </w:t>
      </w:r>
      <w:r w:rsidR="00991652">
        <w:rPr>
          <w:rFonts w:ascii="Times New Roman" w:hAnsi="Times New Roman" w:cs="Times New Roman"/>
          <w:color w:val="000000" w:themeColor="text1"/>
          <w:sz w:val="24"/>
          <w:szCs w:val="24"/>
          <w:lang w:val="en-US"/>
        </w:rPr>
        <w:t>in the Norwegian context is</w:t>
      </w:r>
      <w:r w:rsidR="000A3C2C">
        <w:rPr>
          <w:rFonts w:ascii="Times New Roman" w:hAnsi="Times New Roman" w:cs="Times New Roman"/>
          <w:color w:val="000000" w:themeColor="text1"/>
          <w:sz w:val="24"/>
          <w:szCs w:val="24"/>
          <w:lang w:val="en-US"/>
        </w:rPr>
        <w:t xml:space="preserve"> the n</w:t>
      </w:r>
      <w:r w:rsidRPr="002D39BE">
        <w:rPr>
          <w:rFonts w:ascii="Times New Roman" w:hAnsi="Times New Roman" w:cs="Times New Roman"/>
          <w:color w:val="000000" w:themeColor="text1"/>
          <w:sz w:val="24"/>
          <w:szCs w:val="24"/>
          <w:lang w:val="en-US"/>
        </w:rPr>
        <w:t>ational</w:t>
      </w:r>
      <w:r w:rsidRPr="000D21B4">
        <w:rPr>
          <w:rFonts w:ascii="Times New Roman" w:hAnsi="Times New Roman" w:cs="Times New Roman"/>
          <w:color w:val="000000" w:themeColor="text1"/>
          <w:sz w:val="24"/>
          <w:szCs w:val="24"/>
        </w:rPr>
        <w:t xml:space="preserve"> programme</w:t>
      </w:r>
      <w:r w:rsidRPr="002D39BE">
        <w:rPr>
          <w:rFonts w:ascii="Times New Roman" w:hAnsi="Times New Roman" w:cs="Times New Roman"/>
          <w:color w:val="000000" w:themeColor="text1"/>
          <w:sz w:val="24"/>
          <w:szCs w:val="24"/>
          <w:lang w:val="en-US"/>
        </w:rPr>
        <w:t xml:space="preserve"> for welfare technologies (</w:t>
      </w:r>
      <w:r w:rsidR="00E35069">
        <w:rPr>
          <w:rFonts w:ascii="Times New Roman" w:hAnsi="Times New Roman" w:cs="Times New Roman"/>
          <w:color w:val="000000" w:themeColor="text1"/>
          <w:sz w:val="24"/>
          <w:szCs w:val="24"/>
          <w:lang w:val="en-US"/>
        </w:rPr>
        <w:t>SAMVEIS</w:t>
      </w:r>
      <w:r w:rsidRPr="002D39BE">
        <w:rPr>
          <w:rFonts w:ascii="Times New Roman" w:hAnsi="Times New Roman" w:cs="Times New Roman"/>
          <w:color w:val="000000" w:themeColor="text1"/>
          <w:sz w:val="24"/>
          <w:szCs w:val="24"/>
          <w:lang w:val="en-US"/>
        </w:rPr>
        <w:t>). The</w:t>
      </w:r>
      <w:r w:rsidRPr="000D21B4">
        <w:rPr>
          <w:rFonts w:ascii="Times New Roman" w:hAnsi="Times New Roman" w:cs="Times New Roman"/>
          <w:color w:val="000000" w:themeColor="text1"/>
          <w:sz w:val="24"/>
          <w:szCs w:val="24"/>
        </w:rPr>
        <w:t xml:space="preserve"> programme</w:t>
      </w:r>
      <w:r w:rsidRPr="002D39BE">
        <w:rPr>
          <w:rFonts w:ascii="Times New Roman" w:hAnsi="Times New Roman" w:cs="Times New Roman"/>
          <w:color w:val="000000" w:themeColor="text1"/>
          <w:sz w:val="24"/>
          <w:szCs w:val="24"/>
          <w:lang w:val="en-US"/>
        </w:rPr>
        <w:t xml:space="preserve"> was launched in 2013 by </w:t>
      </w:r>
      <w:r w:rsidRPr="002D39BE">
        <w:rPr>
          <w:rFonts w:ascii="Times New Roman" w:hAnsi="Times New Roman" w:cs="Times New Roman"/>
          <w:sz w:val="24"/>
          <w:szCs w:val="24"/>
          <w:lang w:val="en-US"/>
        </w:rPr>
        <w:t>the N</w:t>
      </w:r>
      <w:r>
        <w:rPr>
          <w:rFonts w:ascii="Times New Roman" w:hAnsi="Times New Roman" w:cs="Times New Roman"/>
          <w:sz w:val="24"/>
          <w:szCs w:val="24"/>
          <w:lang w:val="en-US"/>
        </w:rPr>
        <w:t xml:space="preserve">orwegian Directorate of Health, </w:t>
      </w:r>
      <w:r w:rsidRPr="002D39BE">
        <w:rPr>
          <w:rFonts w:ascii="Times New Roman" w:hAnsi="Times New Roman" w:cs="Times New Roman"/>
          <w:sz w:val="24"/>
          <w:szCs w:val="24"/>
          <w:lang w:val="en-US"/>
        </w:rPr>
        <w:t xml:space="preserve">an executive agency subordinate to the Norwegian Ministry of </w:t>
      </w:r>
      <w:r>
        <w:rPr>
          <w:rFonts w:ascii="Times New Roman" w:hAnsi="Times New Roman" w:cs="Times New Roman"/>
          <w:sz w:val="24"/>
          <w:szCs w:val="24"/>
          <w:lang w:val="en-US"/>
        </w:rPr>
        <w:t>Health and Care Services. Its</w:t>
      </w:r>
      <w:r w:rsidRPr="002D39BE">
        <w:rPr>
          <w:rFonts w:ascii="Times New Roman" w:hAnsi="Times New Roman" w:cs="Times New Roman"/>
          <w:sz w:val="24"/>
          <w:szCs w:val="24"/>
          <w:lang w:val="en-US"/>
        </w:rPr>
        <w:t xml:space="preserve"> overall aim is to ensure that such technologies shall be part of public h</w:t>
      </w:r>
      <w:r>
        <w:rPr>
          <w:rFonts w:ascii="Times New Roman" w:hAnsi="Times New Roman" w:cs="Times New Roman"/>
          <w:sz w:val="24"/>
          <w:szCs w:val="24"/>
          <w:lang w:val="en-US"/>
        </w:rPr>
        <w:t>ealth care services by 2020. In order to do so, the</w:t>
      </w:r>
      <w:r w:rsidRPr="002D39BE">
        <w:rPr>
          <w:rFonts w:ascii="Times New Roman" w:hAnsi="Times New Roman" w:cs="Times New Roman"/>
          <w:sz w:val="24"/>
          <w:szCs w:val="24"/>
          <w:lang w:val="en-US"/>
        </w:rPr>
        <w:t xml:space="preserve"> main tasks </w:t>
      </w:r>
      <w:r>
        <w:rPr>
          <w:rFonts w:ascii="Times New Roman" w:hAnsi="Times New Roman" w:cs="Times New Roman"/>
          <w:sz w:val="24"/>
          <w:szCs w:val="24"/>
          <w:lang w:val="en-US"/>
        </w:rPr>
        <w:t>are</w:t>
      </w:r>
      <w:r w:rsidRPr="002D39BE">
        <w:rPr>
          <w:rFonts w:ascii="Times New Roman" w:hAnsi="Times New Roman" w:cs="Times New Roman"/>
          <w:sz w:val="24"/>
          <w:szCs w:val="24"/>
          <w:lang w:val="en-US"/>
        </w:rPr>
        <w:t xml:space="preserve"> to test and develop assisted living technologies and services</w:t>
      </w:r>
      <w:r>
        <w:rPr>
          <w:rFonts w:ascii="Times New Roman" w:hAnsi="Times New Roman" w:cs="Times New Roman"/>
          <w:sz w:val="24"/>
          <w:szCs w:val="24"/>
          <w:lang w:val="en-US"/>
        </w:rPr>
        <w:t xml:space="preserve"> in the municipalities;</w:t>
      </w:r>
      <w:r w:rsidRPr="002D39BE">
        <w:rPr>
          <w:rFonts w:ascii="Times New Roman" w:hAnsi="Times New Roman" w:cs="Times New Roman"/>
          <w:sz w:val="24"/>
          <w:szCs w:val="24"/>
          <w:lang w:val="en-US"/>
        </w:rPr>
        <w:t xml:space="preserve"> to generate and diffuse knowledge on assisted living</w:t>
      </w:r>
      <w:r>
        <w:rPr>
          <w:rFonts w:ascii="Times New Roman" w:hAnsi="Times New Roman" w:cs="Times New Roman"/>
          <w:sz w:val="24"/>
          <w:szCs w:val="24"/>
          <w:lang w:val="en-US"/>
        </w:rPr>
        <w:t>;</w:t>
      </w:r>
      <w:r w:rsidRPr="002D39BE">
        <w:rPr>
          <w:rFonts w:ascii="Times New Roman" w:hAnsi="Times New Roman" w:cs="Times New Roman"/>
          <w:sz w:val="24"/>
          <w:szCs w:val="24"/>
          <w:lang w:val="en-US"/>
        </w:rPr>
        <w:t xml:space="preserve"> to </w:t>
      </w:r>
      <w:r w:rsidRPr="000D21B4">
        <w:rPr>
          <w:rFonts w:ascii="Times New Roman" w:hAnsi="Times New Roman" w:cs="Times New Roman"/>
          <w:sz w:val="24"/>
          <w:szCs w:val="24"/>
        </w:rPr>
        <w:t>develop</w:t>
      </w:r>
      <w:r w:rsidRPr="002D39BE">
        <w:rPr>
          <w:rFonts w:ascii="Times New Roman" w:hAnsi="Times New Roman" w:cs="Times New Roman"/>
          <w:sz w:val="24"/>
          <w:szCs w:val="24"/>
          <w:lang w:val="en-US"/>
        </w:rPr>
        <w:t xml:space="preserve"> good models for the introduction and use of assisted living </w:t>
      </w:r>
      <w:r>
        <w:rPr>
          <w:rFonts w:ascii="Times New Roman" w:hAnsi="Times New Roman" w:cs="Times New Roman"/>
          <w:sz w:val="24"/>
          <w:szCs w:val="24"/>
          <w:lang w:val="en-US"/>
        </w:rPr>
        <w:t>technologies; and</w:t>
      </w:r>
      <w:r w:rsidRPr="002D39BE">
        <w:rPr>
          <w:rFonts w:ascii="Times New Roman" w:hAnsi="Times New Roman" w:cs="Times New Roman"/>
          <w:sz w:val="24"/>
          <w:szCs w:val="24"/>
          <w:lang w:val="en-US"/>
        </w:rPr>
        <w:t xml:space="preserve"> to develop standards and IT architecture on assisted living technologies. The national program</w:t>
      </w:r>
      <w:r>
        <w:rPr>
          <w:rFonts w:ascii="Times New Roman" w:hAnsi="Times New Roman" w:cs="Times New Roman"/>
          <w:sz w:val="24"/>
          <w:szCs w:val="24"/>
          <w:lang w:val="en-US"/>
        </w:rPr>
        <w:t>me</w:t>
      </w:r>
      <w:r w:rsidRPr="002D39BE">
        <w:rPr>
          <w:rFonts w:ascii="Times New Roman" w:hAnsi="Times New Roman" w:cs="Times New Roman"/>
          <w:sz w:val="24"/>
          <w:szCs w:val="24"/>
          <w:lang w:val="en-US"/>
        </w:rPr>
        <w:t xml:space="preserve"> for welfare technologies is primarily directed towards the municipal health care services, but will nonetheless also contribute to an increased use of assisted living technologies in t</w:t>
      </w:r>
      <w:r>
        <w:rPr>
          <w:rFonts w:ascii="Times New Roman" w:hAnsi="Times New Roman" w:cs="Times New Roman"/>
          <w:sz w:val="24"/>
          <w:szCs w:val="24"/>
          <w:lang w:val="en-US"/>
        </w:rPr>
        <w:t xml:space="preserve">he </w:t>
      </w:r>
      <w:r w:rsidR="000A3C2C">
        <w:rPr>
          <w:rFonts w:ascii="Times New Roman" w:hAnsi="Times New Roman" w:cs="Times New Roman"/>
          <w:sz w:val="24"/>
          <w:szCs w:val="24"/>
          <w:lang w:val="en-US"/>
        </w:rPr>
        <w:t>specializ</w:t>
      </w:r>
      <w:r w:rsidR="000A3C2C" w:rsidRPr="002D39BE">
        <w:rPr>
          <w:rFonts w:ascii="Times New Roman" w:hAnsi="Times New Roman" w:cs="Times New Roman"/>
          <w:sz w:val="24"/>
          <w:szCs w:val="24"/>
          <w:lang w:val="en-US"/>
        </w:rPr>
        <w:t>ed</w:t>
      </w:r>
      <w:r w:rsidRPr="002D39BE">
        <w:rPr>
          <w:rFonts w:ascii="Times New Roman" w:hAnsi="Times New Roman" w:cs="Times New Roman"/>
          <w:sz w:val="24"/>
          <w:szCs w:val="24"/>
          <w:lang w:val="en-US"/>
        </w:rPr>
        <w:t xml:space="preserve"> health services at</w:t>
      </w:r>
      <w:r w:rsidR="000A3C2C">
        <w:rPr>
          <w:rFonts w:ascii="Times New Roman" w:hAnsi="Times New Roman" w:cs="Times New Roman"/>
          <w:sz w:val="24"/>
          <w:szCs w:val="24"/>
          <w:lang w:val="en-US"/>
        </w:rPr>
        <w:t xml:space="preserve"> the</w:t>
      </w:r>
      <w:r w:rsidRPr="002D39BE">
        <w:rPr>
          <w:rFonts w:ascii="Times New Roman" w:hAnsi="Times New Roman" w:cs="Times New Roman"/>
          <w:sz w:val="24"/>
          <w:szCs w:val="24"/>
          <w:lang w:val="en-US"/>
        </w:rPr>
        <w:t xml:space="preserve"> national level and in the private sphere. </w:t>
      </w:r>
    </w:p>
    <w:p w14:paraId="345C7088" w14:textId="1FB57A31" w:rsidR="00085C51" w:rsidRPr="002D39BE" w:rsidRDefault="00085C51" w:rsidP="00085C51">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So far, t</w:t>
      </w:r>
      <w:r w:rsidR="000A3C2C">
        <w:rPr>
          <w:rFonts w:ascii="Times New Roman" w:hAnsi="Times New Roman" w:cs="Times New Roman"/>
          <w:sz w:val="24"/>
          <w:szCs w:val="24"/>
          <w:lang w:val="en-US"/>
        </w:rPr>
        <w:t>he g</w:t>
      </w:r>
      <w:r w:rsidRPr="002D39BE">
        <w:rPr>
          <w:rFonts w:ascii="Times New Roman" w:hAnsi="Times New Roman" w:cs="Times New Roman"/>
          <w:sz w:val="24"/>
          <w:szCs w:val="24"/>
          <w:lang w:val="en-US"/>
        </w:rPr>
        <w:t>overnment’s attention has largely been directed at testing assisted living technologies</w:t>
      </w:r>
      <w:r>
        <w:rPr>
          <w:rFonts w:ascii="Times New Roman" w:hAnsi="Times New Roman" w:cs="Times New Roman"/>
          <w:sz w:val="24"/>
          <w:szCs w:val="24"/>
          <w:lang w:val="en-US"/>
        </w:rPr>
        <w:t>. These include</w:t>
      </w:r>
      <w:r w:rsidRPr="002D39BE">
        <w:rPr>
          <w:rFonts w:ascii="Times New Roman" w:hAnsi="Times New Roman" w:cs="Times New Roman"/>
          <w:sz w:val="24"/>
          <w:szCs w:val="24"/>
          <w:lang w:val="en-US"/>
        </w:rPr>
        <w:t xml:space="preserve"> digital sensors, digital alarms, person tracking systems and safety systems. </w:t>
      </w:r>
      <w:r>
        <w:rPr>
          <w:rFonts w:ascii="Times New Roman" w:hAnsi="Times New Roman" w:cs="Times New Roman"/>
          <w:sz w:val="24"/>
          <w:szCs w:val="24"/>
          <w:lang w:val="en-US"/>
        </w:rPr>
        <w:t xml:space="preserve">Through the provision of </w:t>
      </w:r>
      <w:r w:rsidRPr="002D39BE">
        <w:rPr>
          <w:rFonts w:ascii="Times New Roman" w:hAnsi="Times New Roman" w:cs="Times New Roman"/>
          <w:sz w:val="24"/>
          <w:szCs w:val="24"/>
          <w:lang w:val="en-US"/>
        </w:rPr>
        <w:t>financial support and expertise</w:t>
      </w:r>
      <w:r>
        <w:rPr>
          <w:rFonts w:ascii="Times New Roman" w:hAnsi="Times New Roman" w:cs="Times New Roman"/>
          <w:sz w:val="24"/>
          <w:szCs w:val="24"/>
          <w:lang w:val="en-US"/>
        </w:rPr>
        <w:t>, the aim is to encourage</w:t>
      </w:r>
      <w:r w:rsidRPr="002D39BE">
        <w:rPr>
          <w:rFonts w:ascii="Times New Roman" w:hAnsi="Times New Roman" w:cs="Times New Roman"/>
          <w:sz w:val="24"/>
          <w:szCs w:val="24"/>
          <w:lang w:val="en-US"/>
        </w:rPr>
        <w:t xml:space="preserve"> municipalities to test such technologies in patients</w:t>
      </w:r>
      <w:r>
        <w:rPr>
          <w:rFonts w:ascii="Times New Roman" w:hAnsi="Times New Roman" w:cs="Times New Roman"/>
          <w:sz w:val="24"/>
          <w:szCs w:val="24"/>
          <w:lang w:val="en-US"/>
        </w:rPr>
        <w:t xml:space="preserve">’ homes, in </w:t>
      </w:r>
      <w:r w:rsidR="000A3C2C">
        <w:rPr>
          <w:rFonts w:ascii="Times New Roman" w:hAnsi="Times New Roman" w:cs="Times New Roman"/>
          <w:sz w:val="24"/>
          <w:szCs w:val="24"/>
          <w:lang w:val="en-US"/>
        </w:rPr>
        <w:t>specializ</w:t>
      </w:r>
      <w:r w:rsidR="000A3C2C" w:rsidRPr="002D39BE">
        <w:rPr>
          <w:rFonts w:ascii="Times New Roman" w:hAnsi="Times New Roman" w:cs="Times New Roman"/>
          <w:sz w:val="24"/>
          <w:szCs w:val="24"/>
          <w:lang w:val="en-US"/>
        </w:rPr>
        <w:t>ed</w:t>
      </w:r>
      <w:r w:rsidRPr="002D39BE">
        <w:rPr>
          <w:rFonts w:ascii="Times New Roman" w:hAnsi="Times New Roman" w:cs="Times New Roman"/>
          <w:sz w:val="24"/>
          <w:szCs w:val="24"/>
          <w:lang w:val="en-US"/>
        </w:rPr>
        <w:t xml:space="preserve"> apartments, or</w:t>
      </w:r>
      <w:r>
        <w:rPr>
          <w:rFonts w:ascii="Times New Roman" w:hAnsi="Times New Roman" w:cs="Times New Roman"/>
          <w:sz w:val="24"/>
          <w:szCs w:val="24"/>
          <w:lang w:val="en-US"/>
        </w:rPr>
        <w:t xml:space="preserve"> when</w:t>
      </w:r>
      <w:r w:rsidRPr="002D39BE">
        <w:rPr>
          <w:rFonts w:ascii="Times New Roman" w:hAnsi="Times New Roman" w:cs="Times New Roman"/>
          <w:sz w:val="24"/>
          <w:szCs w:val="24"/>
          <w:lang w:val="en-US"/>
        </w:rPr>
        <w:t xml:space="preserve"> renovating o</w:t>
      </w:r>
      <w:r>
        <w:rPr>
          <w:rFonts w:ascii="Times New Roman" w:hAnsi="Times New Roman" w:cs="Times New Roman"/>
          <w:sz w:val="24"/>
          <w:szCs w:val="24"/>
          <w:lang w:val="en-US"/>
        </w:rPr>
        <w:t xml:space="preserve">r building new care facilities. In terms of timeline, the </w:t>
      </w:r>
      <w:r w:rsidR="00E35069">
        <w:rPr>
          <w:rFonts w:ascii="Times New Roman" w:hAnsi="Times New Roman" w:cs="Times New Roman"/>
          <w:sz w:val="24"/>
          <w:szCs w:val="24"/>
          <w:lang w:val="en-US"/>
        </w:rPr>
        <w:t>SAMVEIS</w:t>
      </w:r>
      <w:r>
        <w:rPr>
          <w:rFonts w:ascii="Times New Roman" w:hAnsi="Times New Roman" w:cs="Times New Roman"/>
          <w:sz w:val="24"/>
          <w:szCs w:val="24"/>
          <w:lang w:val="en-US"/>
        </w:rPr>
        <w:t xml:space="preserve"> programme c</w:t>
      </w:r>
      <w:r w:rsidRPr="002D39BE">
        <w:rPr>
          <w:rFonts w:ascii="Times New Roman" w:hAnsi="Times New Roman" w:cs="Times New Roman"/>
          <w:sz w:val="24"/>
          <w:szCs w:val="24"/>
          <w:lang w:val="en-US"/>
        </w:rPr>
        <w:t>onsists of four phases:</w:t>
      </w:r>
    </w:p>
    <w:p w14:paraId="5955D19E" w14:textId="77777777" w:rsidR="00085C51" w:rsidRPr="002D39BE" w:rsidRDefault="00085C51" w:rsidP="00085C51">
      <w:pPr>
        <w:pStyle w:val="ListParagraph"/>
        <w:numPr>
          <w:ilvl w:val="0"/>
          <w:numId w:val="7"/>
        </w:num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Establishment and</w:t>
      </w:r>
      <w:r w:rsidRPr="002D39BE">
        <w:rPr>
          <w:rFonts w:ascii="Times New Roman" w:hAnsi="Times New Roman" w:cs="Times New Roman"/>
          <w:sz w:val="24"/>
          <w:szCs w:val="24"/>
          <w:lang w:val="en-US"/>
        </w:rPr>
        <w:t xml:space="preserve"> preparations</w:t>
      </w:r>
      <w:r>
        <w:rPr>
          <w:rFonts w:ascii="Times New Roman" w:hAnsi="Times New Roman" w:cs="Times New Roman"/>
          <w:sz w:val="24"/>
          <w:szCs w:val="24"/>
          <w:lang w:val="en-US"/>
        </w:rPr>
        <w:t>:</w:t>
      </w:r>
      <w:r w:rsidRPr="002D39BE">
        <w:rPr>
          <w:rFonts w:ascii="Times New Roman" w:hAnsi="Times New Roman" w:cs="Times New Roman"/>
          <w:sz w:val="24"/>
          <w:szCs w:val="24"/>
          <w:lang w:val="en-US"/>
        </w:rPr>
        <w:t xml:space="preserve"> 2013-2014</w:t>
      </w:r>
    </w:p>
    <w:p w14:paraId="4C578DCA" w14:textId="77777777" w:rsidR="00085C51" w:rsidRPr="002D39BE" w:rsidRDefault="00085C51" w:rsidP="00085C51">
      <w:pPr>
        <w:pStyle w:val="ListParagraph"/>
        <w:numPr>
          <w:ilvl w:val="0"/>
          <w:numId w:val="7"/>
        </w:numPr>
        <w:spacing w:after="240" w:line="480" w:lineRule="auto"/>
        <w:rPr>
          <w:rFonts w:ascii="Times New Roman" w:hAnsi="Times New Roman" w:cs="Times New Roman"/>
          <w:sz w:val="24"/>
          <w:szCs w:val="24"/>
          <w:lang w:val="en-US"/>
        </w:rPr>
      </w:pPr>
      <w:r w:rsidRPr="002D39BE">
        <w:rPr>
          <w:rFonts w:ascii="Times New Roman" w:hAnsi="Times New Roman" w:cs="Times New Roman"/>
          <w:sz w:val="24"/>
          <w:szCs w:val="24"/>
          <w:lang w:val="en-US"/>
        </w:rPr>
        <w:t>Testing 2014-2016: The testing phase is to run until mid-2016 and its objective is to generate experiences and to develop methodologies and practical tools and service models</w:t>
      </w:r>
      <w:r>
        <w:rPr>
          <w:rFonts w:ascii="Times New Roman" w:hAnsi="Times New Roman" w:cs="Times New Roman"/>
          <w:sz w:val="24"/>
          <w:szCs w:val="24"/>
          <w:lang w:val="en-US"/>
        </w:rPr>
        <w:t>. It also intends to</w:t>
      </w:r>
      <w:r w:rsidRPr="002D39BE">
        <w:rPr>
          <w:rFonts w:ascii="Times New Roman" w:hAnsi="Times New Roman" w:cs="Times New Roman"/>
          <w:sz w:val="24"/>
          <w:szCs w:val="24"/>
          <w:lang w:val="en-US"/>
        </w:rPr>
        <w:t xml:space="preserve"> </w:t>
      </w:r>
      <w:r>
        <w:rPr>
          <w:rFonts w:ascii="Times New Roman" w:hAnsi="Times New Roman" w:cs="Times New Roman"/>
          <w:sz w:val="24"/>
          <w:szCs w:val="24"/>
          <w:lang w:val="en-US"/>
        </w:rPr>
        <w:t>provide</w:t>
      </w:r>
      <w:r w:rsidRPr="002D39BE">
        <w:rPr>
          <w:rFonts w:ascii="Times New Roman" w:hAnsi="Times New Roman" w:cs="Times New Roman"/>
          <w:sz w:val="24"/>
          <w:szCs w:val="24"/>
          <w:lang w:val="en-US"/>
        </w:rPr>
        <w:t xml:space="preserve"> training for the municipalities</w:t>
      </w:r>
      <w:r>
        <w:rPr>
          <w:rFonts w:ascii="Times New Roman" w:hAnsi="Times New Roman" w:cs="Times New Roman"/>
          <w:sz w:val="24"/>
          <w:szCs w:val="24"/>
          <w:lang w:val="en-US"/>
        </w:rPr>
        <w:t>,</w:t>
      </w:r>
      <w:r w:rsidRPr="002D39BE">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assist them in</w:t>
      </w:r>
      <w:r w:rsidRPr="002D39BE">
        <w:rPr>
          <w:rFonts w:ascii="Times New Roman" w:hAnsi="Times New Roman" w:cs="Times New Roman"/>
          <w:sz w:val="24"/>
          <w:szCs w:val="24"/>
          <w:lang w:val="en-US"/>
        </w:rPr>
        <w:t xml:space="preserve"> implement</w:t>
      </w:r>
      <w:r>
        <w:rPr>
          <w:rFonts w:ascii="Times New Roman" w:hAnsi="Times New Roman" w:cs="Times New Roman"/>
          <w:sz w:val="24"/>
          <w:szCs w:val="24"/>
          <w:lang w:val="en-US"/>
        </w:rPr>
        <w:t>ing</w:t>
      </w:r>
      <w:r w:rsidRPr="002D39BE">
        <w:rPr>
          <w:rFonts w:ascii="Times New Roman" w:hAnsi="Times New Roman" w:cs="Times New Roman"/>
          <w:sz w:val="24"/>
          <w:szCs w:val="24"/>
          <w:lang w:val="en-US"/>
        </w:rPr>
        <w:t xml:space="preserve"> solutions </w:t>
      </w:r>
      <w:r>
        <w:rPr>
          <w:rFonts w:ascii="Times New Roman" w:hAnsi="Times New Roman" w:cs="Times New Roman"/>
          <w:sz w:val="24"/>
          <w:szCs w:val="24"/>
          <w:lang w:val="en-US"/>
        </w:rPr>
        <w:t>using these</w:t>
      </w:r>
      <w:r w:rsidRPr="002D39BE">
        <w:rPr>
          <w:rFonts w:ascii="Times New Roman" w:hAnsi="Times New Roman" w:cs="Times New Roman"/>
          <w:sz w:val="24"/>
          <w:szCs w:val="24"/>
          <w:lang w:val="en-US"/>
        </w:rPr>
        <w:t xml:space="preserve"> technologies.</w:t>
      </w:r>
    </w:p>
    <w:p w14:paraId="55E74DBB" w14:textId="77777777" w:rsidR="00085C51" w:rsidRPr="002D39BE" w:rsidRDefault="00085C51" w:rsidP="00085C51">
      <w:pPr>
        <w:pStyle w:val="ListParagraph"/>
        <w:numPr>
          <w:ilvl w:val="0"/>
          <w:numId w:val="7"/>
        </w:numPr>
        <w:spacing w:after="240" w:line="480" w:lineRule="auto"/>
        <w:rPr>
          <w:rFonts w:ascii="Times New Roman" w:hAnsi="Times New Roman" w:cs="Times New Roman"/>
          <w:sz w:val="24"/>
          <w:szCs w:val="24"/>
          <w:lang w:val="en-US"/>
        </w:rPr>
      </w:pPr>
      <w:r w:rsidRPr="002D39BE">
        <w:rPr>
          <w:rFonts w:ascii="Times New Roman" w:hAnsi="Times New Roman" w:cs="Times New Roman"/>
          <w:sz w:val="24"/>
          <w:szCs w:val="24"/>
          <w:lang w:val="en-US"/>
        </w:rPr>
        <w:t>Upscaling 2015-2020: The program</w:t>
      </w:r>
      <w:r>
        <w:rPr>
          <w:rFonts w:ascii="Times New Roman" w:hAnsi="Times New Roman" w:cs="Times New Roman"/>
          <w:sz w:val="24"/>
          <w:szCs w:val="24"/>
          <w:lang w:val="en-US"/>
        </w:rPr>
        <w:t>me is planning to</w:t>
      </w:r>
      <w:r w:rsidRPr="002D39BE">
        <w:rPr>
          <w:rFonts w:ascii="Times New Roman" w:hAnsi="Times New Roman" w:cs="Times New Roman"/>
          <w:sz w:val="24"/>
          <w:szCs w:val="24"/>
          <w:lang w:val="en-US"/>
        </w:rPr>
        <w:t xml:space="preserve"> involve 320 municipalities</w:t>
      </w:r>
      <w:r>
        <w:rPr>
          <w:rFonts w:ascii="Times New Roman" w:hAnsi="Times New Roman" w:cs="Times New Roman"/>
          <w:sz w:val="24"/>
          <w:szCs w:val="24"/>
          <w:lang w:val="en-US"/>
        </w:rPr>
        <w:t xml:space="preserve"> in the upscaling stage</w:t>
      </w:r>
      <w:r w:rsidRPr="002D39BE">
        <w:rPr>
          <w:rFonts w:ascii="Times New Roman" w:hAnsi="Times New Roman" w:cs="Times New Roman"/>
          <w:sz w:val="24"/>
          <w:szCs w:val="24"/>
          <w:lang w:val="en-US"/>
        </w:rPr>
        <w:t xml:space="preserve"> by 2019. </w:t>
      </w:r>
      <w:r>
        <w:rPr>
          <w:rFonts w:ascii="Times New Roman" w:hAnsi="Times New Roman" w:cs="Times New Roman"/>
          <w:sz w:val="24"/>
          <w:szCs w:val="24"/>
          <w:lang w:val="en-US"/>
        </w:rPr>
        <w:t>The aim is that b</w:t>
      </w:r>
      <w:r w:rsidRPr="002D39BE">
        <w:rPr>
          <w:rFonts w:ascii="Times New Roman" w:hAnsi="Times New Roman" w:cs="Times New Roman"/>
          <w:sz w:val="24"/>
          <w:szCs w:val="24"/>
          <w:lang w:val="en-US"/>
        </w:rPr>
        <w:t xml:space="preserve">y 2020 80% of the population shall have access to welfare technologies. </w:t>
      </w:r>
    </w:p>
    <w:p w14:paraId="259DE67D" w14:textId="77777777" w:rsidR="00085C51" w:rsidRPr="002D39BE" w:rsidRDefault="00085C51" w:rsidP="00085C51">
      <w:pPr>
        <w:pStyle w:val="ListParagraph"/>
        <w:numPr>
          <w:ilvl w:val="0"/>
          <w:numId w:val="7"/>
        </w:numPr>
        <w:spacing w:after="240" w:line="480" w:lineRule="auto"/>
        <w:rPr>
          <w:rFonts w:ascii="Times New Roman" w:hAnsi="Times New Roman" w:cs="Times New Roman"/>
          <w:sz w:val="24"/>
          <w:szCs w:val="24"/>
          <w:lang w:val="en-US"/>
        </w:rPr>
      </w:pPr>
      <w:r w:rsidRPr="002D39BE">
        <w:rPr>
          <w:rFonts w:ascii="Times New Roman" w:hAnsi="Times New Roman" w:cs="Times New Roman"/>
          <w:sz w:val="24"/>
          <w:szCs w:val="24"/>
          <w:lang w:val="en-US"/>
        </w:rPr>
        <w:t>Consolidation 2020: The objective for the consolidation phase is to ensure usage of the solutions based on welfare technologies by the end of the program</w:t>
      </w:r>
      <w:r>
        <w:rPr>
          <w:rFonts w:ascii="Times New Roman" w:hAnsi="Times New Roman" w:cs="Times New Roman"/>
          <w:sz w:val="24"/>
          <w:szCs w:val="24"/>
          <w:lang w:val="en-US"/>
        </w:rPr>
        <w:t>me</w:t>
      </w:r>
      <w:r w:rsidRPr="002D39BE">
        <w:rPr>
          <w:rFonts w:ascii="Times New Roman" w:hAnsi="Times New Roman" w:cs="Times New Roman"/>
          <w:sz w:val="24"/>
          <w:szCs w:val="24"/>
          <w:lang w:val="en-US"/>
        </w:rPr>
        <w:t xml:space="preserve"> period. </w:t>
      </w:r>
    </w:p>
    <w:p w14:paraId="3C6D0B8C" w14:textId="118CF4ED" w:rsidR="009D7FFD" w:rsidRDefault="00085C51" w:rsidP="00085C51">
      <w:pPr>
        <w:spacing w:after="240" w:line="480" w:lineRule="auto"/>
        <w:rPr>
          <w:rFonts w:ascii="Times New Roman" w:hAnsi="Times New Roman" w:cs="Times New Roman"/>
          <w:sz w:val="24"/>
          <w:szCs w:val="24"/>
          <w:lang w:val="en-US"/>
        </w:rPr>
      </w:pPr>
      <w:r w:rsidRPr="002D39BE">
        <w:rPr>
          <w:rFonts w:ascii="Times New Roman" w:hAnsi="Times New Roman" w:cs="Times New Roman"/>
          <w:sz w:val="24"/>
          <w:szCs w:val="24"/>
          <w:lang w:val="en-US"/>
        </w:rPr>
        <w:t>As part of the initial test phase the program</w:t>
      </w:r>
      <w:r>
        <w:rPr>
          <w:rFonts w:ascii="Times New Roman" w:hAnsi="Times New Roman" w:cs="Times New Roman"/>
          <w:sz w:val="24"/>
          <w:szCs w:val="24"/>
          <w:lang w:val="en-US"/>
        </w:rPr>
        <w:t>me</w:t>
      </w:r>
      <w:r w:rsidRPr="002D39BE">
        <w:rPr>
          <w:rFonts w:ascii="Times New Roman" w:hAnsi="Times New Roman" w:cs="Times New Roman"/>
          <w:sz w:val="24"/>
          <w:szCs w:val="24"/>
          <w:lang w:val="en-US"/>
        </w:rPr>
        <w:t xml:space="preserve"> has funded 10 pilot projects involving 31 municipalities (</w:t>
      </w:r>
      <w:r>
        <w:rPr>
          <w:rFonts w:ascii="Times New Roman" w:hAnsi="Times New Roman" w:cs="Times New Roman"/>
          <w:sz w:val="24"/>
          <w:szCs w:val="24"/>
          <w:lang w:val="en-US"/>
        </w:rPr>
        <w:t>out of</w:t>
      </w:r>
      <w:r w:rsidRPr="002D39BE">
        <w:rPr>
          <w:rFonts w:ascii="Times New Roman" w:hAnsi="Times New Roman" w:cs="Times New Roman"/>
          <w:sz w:val="24"/>
          <w:szCs w:val="24"/>
          <w:lang w:val="en-US"/>
        </w:rPr>
        <w:t xml:space="preserve"> 42</w:t>
      </w:r>
      <w:r>
        <w:rPr>
          <w:rFonts w:ascii="Times New Roman" w:hAnsi="Times New Roman" w:cs="Times New Roman"/>
          <w:sz w:val="24"/>
          <w:szCs w:val="24"/>
          <w:lang w:val="en-US"/>
        </w:rPr>
        <w:t>6</w:t>
      </w:r>
      <w:r w:rsidRPr="002D39BE">
        <w:rPr>
          <w:rFonts w:ascii="Times New Roman" w:hAnsi="Times New Roman" w:cs="Times New Roman"/>
          <w:sz w:val="24"/>
          <w:szCs w:val="24"/>
          <w:lang w:val="en-US"/>
        </w:rPr>
        <w:t xml:space="preserve"> nationally). Since the launch in 2013 the pilot program</w:t>
      </w:r>
      <w:r>
        <w:rPr>
          <w:rFonts w:ascii="Times New Roman" w:hAnsi="Times New Roman" w:cs="Times New Roman"/>
          <w:sz w:val="24"/>
          <w:szCs w:val="24"/>
          <w:lang w:val="en-US"/>
        </w:rPr>
        <w:t>me</w:t>
      </w:r>
      <w:r w:rsidRPr="002D39BE">
        <w:rPr>
          <w:rFonts w:ascii="Times New Roman" w:hAnsi="Times New Roman" w:cs="Times New Roman"/>
          <w:sz w:val="24"/>
          <w:szCs w:val="24"/>
          <w:lang w:val="en-US"/>
        </w:rPr>
        <w:t xml:space="preserve"> has had a budget of approxima</w:t>
      </w:r>
      <w:r>
        <w:rPr>
          <w:rFonts w:ascii="Times New Roman" w:hAnsi="Times New Roman" w:cs="Times New Roman"/>
          <w:sz w:val="24"/>
          <w:szCs w:val="24"/>
          <w:lang w:val="en-US"/>
        </w:rPr>
        <w:t>tely 3.5 million Euros annually, which ran in parallel with other government funds covering</w:t>
      </w:r>
      <w:r w:rsidRPr="002D39BE">
        <w:rPr>
          <w:rFonts w:ascii="Times New Roman" w:hAnsi="Times New Roman" w:cs="Times New Roman"/>
          <w:sz w:val="24"/>
          <w:szCs w:val="24"/>
          <w:lang w:val="en-US"/>
        </w:rPr>
        <w:t xml:space="preserve"> active ageing.</w:t>
      </w:r>
      <w:r>
        <w:rPr>
          <w:rFonts w:ascii="Times New Roman" w:hAnsi="Times New Roman" w:cs="Times New Roman"/>
          <w:sz w:val="24"/>
          <w:szCs w:val="24"/>
          <w:lang w:val="en-US"/>
        </w:rPr>
        <w:t xml:space="preserve"> All the municipalities that we</w:t>
      </w:r>
      <w:r w:rsidRPr="002D39BE">
        <w:rPr>
          <w:rFonts w:ascii="Times New Roman" w:hAnsi="Times New Roman" w:cs="Times New Roman"/>
          <w:sz w:val="24"/>
          <w:szCs w:val="24"/>
          <w:lang w:val="en-US"/>
        </w:rPr>
        <w:t>re included in the program</w:t>
      </w:r>
      <w:r>
        <w:rPr>
          <w:rFonts w:ascii="Times New Roman" w:hAnsi="Times New Roman" w:cs="Times New Roman"/>
          <w:sz w:val="24"/>
          <w:szCs w:val="24"/>
          <w:lang w:val="en-US"/>
        </w:rPr>
        <w:t>me we</w:t>
      </w:r>
      <w:r w:rsidRPr="002D39BE">
        <w:rPr>
          <w:rFonts w:ascii="Times New Roman" w:hAnsi="Times New Roman" w:cs="Times New Roman"/>
          <w:sz w:val="24"/>
          <w:szCs w:val="24"/>
          <w:lang w:val="en-US"/>
        </w:rPr>
        <w:t>re also part of a network to facilitate knowledge exchange, coordinated by the Norwegian Directorate of Health and the</w:t>
      </w:r>
      <w:r>
        <w:rPr>
          <w:rFonts w:ascii="Times New Roman" w:hAnsi="Times New Roman" w:cs="Times New Roman"/>
          <w:sz w:val="24"/>
          <w:szCs w:val="24"/>
          <w:lang w:val="en-US"/>
        </w:rPr>
        <w:t xml:space="preserve"> a</w:t>
      </w:r>
      <w:r w:rsidRPr="002D39BE">
        <w:rPr>
          <w:rFonts w:ascii="Times New Roman" w:hAnsi="Times New Roman" w:cs="Times New Roman"/>
          <w:sz w:val="24"/>
          <w:szCs w:val="24"/>
          <w:lang w:val="en-US"/>
        </w:rPr>
        <w:t>ssociation of local and regional governments. The participants in the program</w:t>
      </w:r>
      <w:r>
        <w:rPr>
          <w:rFonts w:ascii="Times New Roman" w:hAnsi="Times New Roman" w:cs="Times New Roman"/>
          <w:sz w:val="24"/>
          <w:szCs w:val="24"/>
          <w:lang w:val="en-US"/>
        </w:rPr>
        <w:t>me</w:t>
      </w:r>
      <w:r w:rsidRPr="002D39BE">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2D39BE">
        <w:rPr>
          <w:rFonts w:ascii="Times New Roman" w:hAnsi="Times New Roman" w:cs="Times New Roman"/>
          <w:sz w:val="24"/>
          <w:szCs w:val="24"/>
          <w:lang w:val="en-US"/>
        </w:rPr>
        <w:t>re</w:t>
      </w:r>
      <w:r>
        <w:rPr>
          <w:rFonts w:ascii="Times New Roman" w:hAnsi="Times New Roman" w:cs="Times New Roman"/>
          <w:sz w:val="24"/>
          <w:szCs w:val="24"/>
          <w:lang w:val="en-US"/>
        </w:rPr>
        <w:t xml:space="preserve"> </w:t>
      </w:r>
      <w:r w:rsidRPr="002D39BE">
        <w:rPr>
          <w:rFonts w:ascii="Times New Roman" w:hAnsi="Times New Roman" w:cs="Times New Roman"/>
          <w:sz w:val="24"/>
          <w:szCs w:val="24"/>
          <w:lang w:val="en-US"/>
        </w:rPr>
        <w:t>expected</w:t>
      </w:r>
      <w:r>
        <w:rPr>
          <w:rFonts w:ascii="Times New Roman" w:hAnsi="Times New Roman" w:cs="Times New Roman"/>
          <w:sz w:val="24"/>
          <w:szCs w:val="24"/>
          <w:lang w:val="en-US"/>
        </w:rPr>
        <w:t xml:space="preserve"> to report on their activities with</w:t>
      </w:r>
      <w:r w:rsidRPr="002D39BE">
        <w:rPr>
          <w:rFonts w:ascii="Times New Roman" w:hAnsi="Times New Roman" w:cs="Times New Roman"/>
          <w:sz w:val="24"/>
          <w:szCs w:val="24"/>
          <w:lang w:val="en-US"/>
        </w:rPr>
        <w:t xml:space="preserve"> other municipalities</w:t>
      </w:r>
      <w:r>
        <w:rPr>
          <w:rFonts w:ascii="Times New Roman" w:hAnsi="Times New Roman" w:cs="Times New Roman"/>
          <w:sz w:val="24"/>
          <w:szCs w:val="24"/>
          <w:lang w:val="en-US"/>
        </w:rPr>
        <w:t>,</w:t>
      </w:r>
      <w:r w:rsidRPr="002D39BE">
        <w:rPr>
          <w:rFonts w:ascii="Times New Roman" w:hAnsi="Times New Roman" w:cs="Times New Roman"/>
          <w:sz w:val="24"/>
          <w:szCs w:val="24"/>
          <w:lang w:val="en-US"/>
        </w:rPr>
        <w:t xml:space="preserve"> both within and beyond the boundaries of </w:t>
      </w:r>
      <w:r w:rsidR="00E35069">
        <w:rPr>
          <w:rFonts w:ascii="Times New Roman" w:hAnsi="Times New Roman" w:cs="Times New Roman"/>
          <w:sz w:val="24"/>
          <w:szCs w:val="24"/>
          <w:lang w:val="en-US"/>
        </w:rPr>
        <w:t>SAMVEIS</w:t>
      </w:r>
      <w:r w:rsidRPr="002D39BE">
        <w:rPr>
          <w:rFonts w:ascii="Times New Roman" w:hAnsi="Times New Roman" w:cs="Times New Roman"/>
          <w:sz w:val="24"/>
          <w:szCs w:val="24"/>
          <w:lang w:val="en-US"/>
        </w:rPr>
        <w:t>.</w:t>
      </w:r>
      <w:r>
        <w:rPr>
          <w:rFonts w:ascii="Times New Roman" w:hAnsi="Times New Roman" w:cs="Times New Roman"/>
          <w:sz w:val="24"/>
          <w:szCs w:val="24"/>
          <w:lang w:val="en-US"/>
        </w:rPr>
        <w:t xml:space="preserve"> Addition</w:t>
      </w:r>
      <w:r w:rsidR="000A3C2C">
        <w:rPr>
          <w:rFonts w:ascii="Times New Roman" w:hAnsi="Times New Roman" w:cs="Times New Roman"/>
          <w:sz w:val="24"/>
          <w:szCs w:val="24"/>
          <w:lang w:val="en-US"/>
        </w:rPr>
        <w:t xml:space="preserve">ally, one of the </w:t>
      </w:r>
      <w:r w:rsidR="000A3C2C">
        <w:rPr>
          <w:rFonts w:ascii="Times New Roman" w:hAnsi="Times New Roman" w:cs="Times New Roman"/>
          <w:sz w:val="24"/>
          <w:szCs w:val="24"/>
          <w:lang w:val="en-US"/>
        </w:rPr>
        <w:lastRenderedPageBreak/>
        <w:t>national centre</w:t>
      </w:r>
      <w:r>
        <w:rPr>
          <w:rFonts w:ascii="Times New Roman" w:hAnsi="Times New Roman" w:cs="Times New Roman"/>
          <w:sz w:val="24"/>
          <w:szCs w:val="24"/>
          <w:lang w:val="en-US"/>
        </w:rPr>
        <w:t>s for care research was</w:t>
      </w:r>
      <w:r w:rsidRPr="002D39BE">
        <w:rPr>
          <w:rFonts w:ascii="Times New Roman" w:hAnsi="Times New Roman" w:cs="Times New Roman"/>
          <w:sz w:val="24"/>
          <w:szCs w:val="24"/>
          <w:lang w:val="en-US"/>
        </w:rPr>
        <w:t xml:space="preserve"> commissioned with the task</w:t>
      </w:r>
      <w:r>
        <w:rPr>
          <w:rFonts w:ascii="Times New Roman" w:hAnsi="Times New Roman" w:cs="Times New Roman"/>
          <w:sz w:val="24"/>
          <w:szCs w:val="24"/>
          <w:lang w:val="en-US"/>
        </w:rPr>
        <w:t>s</w:t>
      </w:r>
      <w:r w:rsidRPr="002D39BE">
        <w:rPr>
          <w:rFonts w:ascii="Times New Roman" w:hAnsi="Times New Roman" w:cs="Times New Roman"/>
          <w:sz w:val="24"/>
          <w:szCs w:val="24"/>
          <w:lang w:val="en-US"/>
        </w:rPr>
        <w:t xml:space="preserve"> of running a research network and </w:t>
      </w:r>
      <w:r>
        <w:rPr>
          <w:rFonts w:ascii="Times New Roman" w:hAnsi="Times New Roman" w:cs="Times New Roman"/>
          <w:sz w:val="24"/>
          <w:szCs w:val="24"/>
          <w:lang w:val="en-US"/>
        </w:rPr>
        <w:t>of</w:t>
      </w:r>
      <w:r w:rsidRPr="002D39BE">
        <w:rPr>
          <w:rFonts w:ascii="Times New Roman" w:hAnsi="Times New Roman" w:cs="Times New Roman"/>
          <w:sz w:val="24"/>
          <w:szCs w:val="24"/>
          <w:lang w:val="en-US"/>
        </w:rPr>
        <w:t xml:space="preserve"> synthesiz</w:t>
      </w:r>
      <w:r>
        <w:rPr>
          <w:rFonts w:ascii="Times New Roman" w:hAnsi="Times New Roman" w:cs="Times New Roman"/>
          <w:sz w:val="24"/>
          <w:szCs w:val="24"/>
          <w:lang w:val="en-US"/>
        </w:rPr>
        <w:t>ing</w:t>
      </w:r>
      <w:r w:rsidRPr="002D39BE">
        <w:rPr>
          <w:rFonts w:ascii="Times New Roman" w:hAnsi="Times New Roman" w:cs="Times New Roman"/>
          <w:sz w:val="24"/>
          <w:szCs w:val="24"/>
          <w:lang w:val="en-US"/>
        </w:rPr>
        <w:t xml:space="preserve"> and communicat</w:t>
      </w:r>
      <w:r>
        <w:rPr>
          <w:rFonts w:ascii="Times New Roman" w:hAnsi="Times New Roman" w:cs="Times New Roman"/>
          <w:sz w:val="24"/>
          <w:szCs w:val="24"/>
          <w:lang w:val="en-US"/>
        </w:rPr>
        <w:t>ing</w:t>
      </w:r>
      <w:r w:rsidRPr="002D39BE">
        <w:rPr>
          <w:rFonts w:ascii="Times New Roman" w:hAnsi="Times New Roman" w:cs="Times New Roman"/>
          <w:sz w:val="24"/>
          <w:szCs w:val="24"/>
          <w:lang w:val="en-US"/>
        </w:rPr>
        <w:t xml:space="preserve"> research results from the program</w:t>
      </w:r>
      <w:r>
        <w:rPr>
          <w:rFonts w:ascii="Times New Roman" w:hAnsi="Times New Roman" w:cs="Times New Roman"/>
          <w:sz w:val="24"/>
          <w:szCs w:val="24"/>
          <w:lang w:val="en-US"/>
        </w:rPr>
        <w:t>me</w:t>
      </w:r>
      <w:r w:rsidRPr="002D39BE">
        <w:rPr>
          <w:rFonts w:ascii="Times New Roman" w:hAnsi="Times New Roman" w:cs="Times New Roman"/>
          <w:sz w:val="24"/>
          <w:szCs w:val="24"/>
          <w:lang w:val="en-US"/>
        </w:rPr>
        <w:t xml:space="preserve">. </w:t>
      </w:r>
    </w:p>
    <w:p w14:paraId="50043AD7" w14:textId="71E6A742" w:rsidR="00390491" w:rsidRPr="0094403F" w:rsidRDefault="00390491" w:rsidP="00390491">
      <w:pPr>
        <w:spacing w:after="240" w:line="480" w:lineRule="auto"/>
        <w:rPr>
          <w:rFonts w:ascii="Times New Roman" w:hAnsi="Times New Roman" w:cs="Times New Roman"/>
          <w:sz w:val="24"/>
          <w:szCs w:val="24"/>
        </w:rPr>
      </w:pPr>
      <w:r w:rsidRPr="0094403F">
        <w:rPr>
          <w:rFonts w:ascii="Times New Roman" w:hAnsi="Times New Roman" w:cs="Times New Roman"/>
          <w:sz w:val="24"/>
          <w:szCs w:val="24"/>
          <w:lang w:val="en-US"/>
        </w:rPr>
        <w:t xml:space="preserve">When interpreted through the conceptual lens of SNM, the </w:t>
      </w:r>
      <w:r w:rsidR="00E35069">
        <w:rPr>
          <w:rFonts w:ascii="Times New Roman" w:hAnsi="Times New Roman" w:cs="Times New Roman"/>
          <w:sz w:val="24"/>
          <w:szCs w:val="24"/>
          <w:lang w:val="en-US"/>
        </w:rPr>
        <w:t>SAMVEIS</w:t>
      </w:r>
      <w:r w:rsidRPr="0094403F">
        <w:rPr>
          <w:rFonts w:ascii="Times New Roman" w:hAnsi="Times New Roman" w:cs="Times New Roman"/>
          <w:sz w:val="24"/>
          <w:szCs w:val="24"/>
          <w:lang w:val="en-US"/>
        </w:rPr>
        <w:t xml:space="preserve"> programme can be seen as an example of protected niche development, anchored in the existing health care regime (see table 1). The national policy programme has provided resources and legitimacy, which in turn have carved out a</w:t>
      </w:r>
      <w:r w:rsidR="00BC2CDF">
        <w:rPr>
          <w:rFonts w:ascii="Times New Roman" w:hAnsi="Times New Roman" w:cs="Times New Roman"/>
          <w:sz w:val="24"/>
          <w:szCs w:val="24"/>
          <w:lang w:val="en-US"/>
        </w:rPr>
        <w:t>n</w:t>
      </w:r>
      <w:r w:rsidRPr="0094403F">
        <w:rPr>
          <w:rFonts w:ascii="Times New Roman" w:hAnsi="Times New Roman" w:cs="Times New Roman"/>
          <w:sz w:val="24"/>
          <w:szCs w:val="24"/>
          <w:lang w:val="en-US"/>
        </w:rPr>
        <w:t xml:space="preserve"> incubation space that is partly shielded from competition and selection criteria in the established care system. It has therefore created the conditions for ‘shielding’ a new socio-technical approach to active ageing. At the same time the programme nurtured new technological development by implementing an architecture and standards for the new health care regime through the use of the Continua standard. Also, because it is a national programme, it included mechanisms to create an innovative platform involving various stakeholders across public, private and civic sector and to combine supply side and demand side innovation policy measures. It has also sought to stimulate collaboration and interaction with subcontractors, users and their next-of-kin that was conducive to increasing the alignment of emerging and immature technologies with values, norms and practices in care provision. Both these elements, technological interoperability and extended networks, could serve as the basis for ‘empowering’ measures, which are expected to take place in the upscaling and consolidation stages of the program</w:t>
      </w:r>
      <w:r w:rsidR="000A3C2C">
        <w:rPr>
          <w:rFonts w:ascii="Times New Roman" w:hAnsi="Times New Roman" w:cs="Times New Roman"/>
          <w:sz w:val="24"/>
          <w:szCs w:val="24"/>
          <w:lang w:val="en-US"/>
        </w:rPr>
        <w:t>me</w:t>
      </w:r>
      <w:r w:rsidRPr="0094403F">
        <w:rPr>
          <w:rFonts w:ascii="Times New Roman" w:hAnsi="Times New Roman" w:cs="Times New Roman"/>
          <w:sz w:val="24"/>
          <w:szCs w:val="24"/>
          <w:lang w:val="en-US"/>
        </w:rPr>
        <w:t>.</w:t>
      </w:r>
    </w:p>
    <w:p w14:paraId="50BAF82C" w14:textId="2A3981E4" w:rsidR="005C31AF" w:rsidRPr="00B2437D" w:rsidRDefault="00591DD0" w:rsidP="00B2437D">
      <w:pPr>
        <w:pStyle w:val="Heading2"/>
        <w:rPr>
          <w:b w:val="0"/>
        </w:rPr>
      </w:pPr>
      <w:r>
        <w:rPr>
          <w:lang w:val="en-US"/>
        </w:rPr>
        <w:t xml:space="preserve">5 </w:t>
      </w:r>
      <w:r w:rsidR="005C31AF" w:rsidRPr="0069718A">
        <w:t xml:space="preserve">Comparative </w:t>
      </w:r>
      <w:r w:rsidR="00DE61F9" w:rsidRPr="0069718A">
        <w:t>analysis</w:t>
      </w:r>
      <w:r w:rsidR="009D7FFD" w:rsidRPr="00E35069">
        <w:t xml:space="preserve"> of governance approaches</w:t>
      </w:r>
    </w:p>
    <w:p w14:paraId="6CCF2590" w14:textId="36BE7D19" w:rsidR="00AC0AAA" w:rsidRDefault="001015F7" w:rsidP="006A4FD5">
      <w:pPr>
        <w:spacing w:after="240" w:line="480" w:lineRule="auto"/>
        <w:rPr>
          <w:rFonts w:ascii="Times New Roman" w:hAnsi="Times New Roman" w:cs="Times New Roman"/>
          <w:i/>
          <w:sz w:val="24"/>
          <w:szCs w:val="24"/>
        </w:rPr>
      </w:pPr>
      <w:r>
        <w:rPr>
          <w:rFonts w:ascii="Times New Roman" w:hAnsi="Times New Roman" w:cs="Times New Roman"/>
          <w:sz w:val="24"/>
          <w:szCs w:val="24"/>
        </w:rPr>
        <w:t xml:space="preserve">As these programmes highlight, </w:t>
      </w:r>
      <w:r w:rsidR="007D13DD">
        <w:rPr>
          <w:rFonts w:ascii="Times New Roman" w:hAnsi="Times New Roman" w:cs="Times New Roman"/>
          <w:sz w:val="24"/>
          <w:szCs w:val="24"/>
        </w:rPr>
        <w:t xml:space="preserve">such development processes </w:t>
      </w:r>
      <w:r w:rsidR="00B87DEF">
        <w:rPr>
          <w:rFonts w:ascii="Times New Roman" w:hAnsi="Times New Roman" w:cs="Times New Roman"/>
          <w:sz w:val="24"/>
          <w:szCs w:val="24"/>
        </w:rPr>
        <w:t xml:space="preserve">of </w:t>
      </w:r>
      <w:r w:rsidR="000A3C2C">
        <w:rPr>
          <w:rFonts w:ascii="Times New Roman" w:hAnsi="Times New Roman" w:cs="Times New Roman"/>
          <w:sz w:val="24"/>
          <w:szCs w:val="24"/>
        </w:rPr>
        <w:t>SNM</w:t>
      </w:r>
      <w:r w:rsidR="00B87DEF">
        <w:rPr>
          <w:rFonts w:ascii="Times New Roman" w:hAnsi="Times New Roman" w:cs="Times New Roman"/>
          <w:sz w:val="24"/>
          <w:szCs w:val="24"/>
        </w:rPr>
        <w:t xml:space="preserve"> </w:t>
      </w:r>
      <w:r w:rsidR="007D13DD">
        <w:rPr>
          <w:rFonts w:ascii="Times New Roman" w:hAnsi="Times New Roman" w:cs="Times New Roman"/>
          <w:sz w:val="24"/>
          <w:szCs w:val="24"/>
        </w:rPr>
        <w:t xml:space="preserve">include complex and integrated </w:t>
      </w:r>
      <w:r w:rsidR="00B87DEF">
        <w:rPr>
          <w:rFonts w:ascii="Times New Roman" w:hAnsi="Times New Roman" w:cs="Times New Roman"/>
          <w:sz w:val="24"/>
          <w:szCs w:val="24"/>
        </w:rPr>
        <w:t>systemic challenges</w:t>
      </w:r>
      <w:r w:rsidR="007D13DD">
        <w:rPr>
          <w:rFonts w:ascii="Times New Roman" w:hAnsi="Times New Roman" w:cs="Times New Roman"/>
          <w:sz w:val="24"/>
          <w:szCs w:val="24"/>
        </w:rPr>
        <w:t xml:space="preserve"> that</w:t>
      </w:r>
      <w:r w:rsidR="009F2962">
        <w:rPr>
          <w:rFonts w:ascii="Times New Roman" w:hAnsi="Times New Roman" w:cs="Times New Roman"/>
          <w:sz w:val="24"/>
          <w:szCs w:val="24"/>
        </w:rPr>
        <w:t xml:space="preserve"> </w:t>
      </w:r>
      <w:r w:rsidR="00B2437D">
        <w:rPr>
          <w:rFonts w:ascii="Times New Roman" w:hAnsi="Times New Roman" w:cs="Times New Roman"/>
          <w:sz w:val="24"/>
          <w:szCs w:val="24"/>
        </w:rPr>
        <w:t>cover</w:t>
      </w:r>
      <w:r w:rsidR="007D13DD">
        <w:rPr>
          <w:rFonts w:ascii="Times New Roman" w:hAnsi="Times New Roman" w:cs="Times New Roman"/>
          <w:sz w:val="24"/>
          <w:szCs w:val="24"/>
        </w:rPr>
        <w:t xml:space="preserve"> both technological development</w:t>
      </w:r>
      <w:r w:rsidR="000A3C2C">
        <w:rPr>
          <w:rFonts w:ascii="Times New Roman" w:hAnsi="Times New Roman" w:cs="Times New Roman"/>
          <w:sz w:val="24"/>
          <w:szCs w:val="24"/>
        </w:rPr>
        <w:t xml:space="preserve"> and standardiz</w:t>
      </w:r>
      <w:r w:rsidR="00B87DEF">
        <w:rPr>
          <w:rFonts w:ascii="Times New Roman" w:hAnsi="Times New Roman" w:cs="Times New Roman"/>
          <w:sz w:val="24"/>
          <w:szCs w:val="24"/>
        </w:rPr>
        <w:t>ation</w:t>
      </w:r>
      <w:r w:rsidR="007D13DD">
        <w:rPr>
          <w:rFonts w:ascii="Times New Roman" w:hAnsi="Times New Roman" w:cs="Times New Roman"/>
          <w:sz w:val="24"/>
          <w:szCs w:val="24"/>
        </w:rPr>
        <w:t xml:space="preserve">, alignment with existing health care services, changes in organizational and social routines and practices, as well as </w:t>
      </w:r>
      <w:r w:rsidR="00B87DEF">
        <w:rPr>
          <w:rFonts w:ascii="Times New Roman" w:hAnsi="Times New Roman" w:cs="Times New Roman"/>
          <w:sz w:val="24"/>
          <w:szCs w:val="24"/>
        </w:rPr>
        <w:t xml:space="preserve">the challenge of </w:t>
      </w:r>
      <w:r w:rsidR="007D13DD">
        <w:rPr>
          <w:rFonts w:ascii="Times New Roman" w:hAnsi="Times New Roman" w:cs="Times New Roman"/>
          <w:sz w:val="24"/>
          <w:szCs w:val="24"/>
        </w:rPr>
        <w:t xml:space="preserve">joint learning across several stakeholders throughout the different phases. </w:t>
      </w:r>
      <w:r>
        <w:rPr>
          <w:rFonts w:ascii="Times New Roman" w:hAnsi="Times New Roman" w:cs="Times New Roman"/>
          <w:sz w:val="24"/>
          <w:szCs w:val="24"/>
        </w:rPr>
        <w:t xml:space="preserve">We will focus here on how the states of the UK </w:t>
      </w:r>
      <w:r>
        <w:rPr>
          <w:rFonts w:ascii="Times New Roman" w:hAnsi="Times New Roman" w:cs="Times New Roman"/>
          <w:sz w:val="24"/>
          <w:szCs w:val="24"/>
        </w:rPr>
        <w:lastRenderedPageBreak/>
        <w:t>and Norway dealt with these issues, drawing on the typology of systemic failures by Weber and Rohracher</w:t>
      </w:r>
      <w:r w:rsidRPr="001015F7">
        <w:rPr>
          <w:rFonts w:ascii="Times New Roman" w:hAnsi="Times New Roman" w:cs="Times New Roman"/>
          <w:sz w:val="24"/>
          <w:szCs w:val="24"/>
        </w:rPr>
        <w:t xml:space="preserve"> (2012</w:t>
      </w:r>
      <w:r>
        <w:rPr>
          <w:rFonts w:ascii="Times New Roman" w:hAnsi="Times New Roman" w:cs="Times New Roman"/>
          <w:sz w:val="24"/>
          <w:szCs w:val="24"/>
        </w:rPr>
        <w:t>).</w:t>
      </w:r>
    </w:p>
    <w:p w14:paraId="2FCF8208" w14:textId="6F2A6CB8" w:rsidR="002A6DD6" w:rsidRPr="0094403F" w:rsidRDefault="005C31AF" w:rsidP="00B2437D">
      <w:pPr>
        <w:pStyle w:val="Heading3"/>
      </w:pPr>
      <w:r w:rsidRPr="00B2437D">
        <w:t>Directionality</w:t>
      </w:r>
    </w:p>
    <w:p w14:paraId="1B770456" w14:textId="66005F4C" w:rsidR="00483505" w:rsidRDefault="00483505" w:rsidP="00A2104E">
      <w:pPr>
        <w:spacing w:after="240" w:line="480" w:lineRule="auto"/>
        <w:rPr>
          <w:rFonts w:ascii="Times New Roman" w:hAnsi="Times New Roman" w:cs="Times New Roman"/>
          <w:sz w:val="24"/>
          <w:szCs w:val="24"/>
        </w:rPr>
      </w:pPr>
      <w:r w:rsidRPr="00483505">
        <w:rPr>
          <w:rFonts w:ascii="Times New Roman" w:hAnsi="Times New Roman" w:cs="Times New Roman"/>
          <w:sz w:val="24"/>
          <w:szCs w:val="24"/>
        </w:rPr>
        <w:t xml:space="preserve">According to the project evaluation (Devlin el al 2016), </w:t>
      </w:r>
      <w:r>
        <w:rPr>
          <w:rFonts w:ascii="Times New Roman" w:hAnsi="Times New Roman" w:cs="Times New Roman"/>
          <w:sz w:val="24"/>
          <w:szCs w:val="24"/>
        </w:rPr>
        <w:t xml:space="preserve">to </w:t>
      </w:r>
      <w:r w:rsidRPr="00483505">
        <w:rPr>
          <w:rFonts w:ascii="Times New Roman" w:hAnsi="Times New Roman" w:cs="Times New Roman"/>
          <w:sz w:val="24"/>
          <w:szCs w:val="24"/>
        </w:rPr>
        <w:t>interviews with representatives from the four projects, and</w:t>
      </w:r>
      <w:r>
        <w:rPr>
          <w:rFonts w:ascii="Times New Roman" w:hAnsi="Times New Roman" w:cs="Times New Roman"/>
          <w:sz w:val="24"/>
          <w:szCs w:val="24"/>
        </w:rPr>
        <w:t xml:space="preserve"> to </w:t>
      </w:r>
      <w:r w:rsidRPr="00483505">
        <w:rPr>
          <w:rFonts w:ascii="Times New Roman" w:hAnsi="Times New Roman" w:cs="Times New Roman"/>
          <w:sz w:val="24"/>
          <w:szCs w:val="24"/>
        </w:rPr>
        <w:t>the results discus</w:t>
      </w:r>
      <w:r w:rsidR="000A3C2C">
        <w:rPr>
          <w:rFonts w:ascii="Times New Roman" w:hAnsi="Times New Roman" w:cs="Times New Roman"/>
          <w:sz w:val="24"/>
          <w:szCs w:val="24"/>
        </w:rPr>
        <w:t>sed at the final seminar organiz</w:t>
      </w:r>
      <w:r w:rsidRPr="00483505">
        <w:rPr>
          <w:rFonts w:ascii="Times New Roman" w:hAnsi="Times New Roman" w:cs="Times New Roman"/>
          <w:sz w:val="24"/>
          <w:szCs w:val="24"/>
        </w:rPr>
        <w:t>ed by Innovate UK</w:t>
      </w:r>
      <w:r w:rsidR="009133AC" w:rsidRPr="0094403F">
        <w:rPr>
          <w:rFonts w:ascii="Times New Roman" w:hAnsi="Times New Roman" w:cs="Times New Roman"/>
          <w:sz w:val="24"/>
          <w:szCs w:val="24"/>
        </w:rPr>
        <w:t>, the DALLAS programme was</w:t>
      </w:r>
      <w:r>
        <w:rPr>
          <w:rFonts w:ascii="Times New Roman" w:hAnsi="Times New Roman" w:cs="Times New Roman"/>
          <w:sz w:val="24"/>
          <w:szCs w:val="24"/>
        </w:rPr>
        <w:t xml:space="preserve"> fairly</w:t>
      </w:r>
      <w:r w:rsidR="009133AC" w:rsidRPr="0094403F">
        <w:rPr>
          <w:rFonts w:ascii="Times New Roman" w:hAnsi="Times New Roman" w:cs="Times New Roman"/>
          <w:sz w:val="24"/>
          <w:szCs w:val="24"/>
        </w:rPr>
        <w:t xml:space="preserve"> successful in addressing directionality and demand articulation failures, but less so in addressing policy coordination o</w:t>
      </w:r>
      <w:r w:rsidR="00236907" w:rsidRPr="00B2437D">
        <w:rPr>
          <w:rFonts w:ascii="Times New Roman" w:hAnsi="Times New Roman" w:cs="Times New Roman"/>
          <w:sz w:val="24"/>
          <w:szCs w:val="24"/>
        </w:rPr>
        <w:t>r</w:t>
      </w:r>
      <w:r w:rsidR="009133AC" w:rsidRPr="0094403F">
        <w:rPr>
          <w:rFonts w:ascii="Times New Roman" w:hAnsi="Times New Roman" w:cs="Times New Roman"/>
          <w:sz w:val="24"/>
          <w:szCs w:val="24"/>
        </w:rPr>
        <w:t xml:space="preserve"> reflexivity failures (see table 2 for a summary). The first (directionality) was addressed </w:t>
      </w:r>
      <w:r w:rsidR="0004794F">
        <w:rPr>
          <w:rFonts w:ascii="Times New Roman" w:hAnsi="Times New Roman" w:cs="Times New Roman"/>
          <w:sz w:val="24"/>
          <w:szCs w:val="24"/>
        </w:rPr>
        <w:t xml:space="preserve">through a bottom-up strategy which </w:t>
      </w:r>
      <w:r w:rsidRPr="0094403F">
        <w:rPr>
          <w:rFonts w:ascii="Times New Roman" w:hAnsi="Times New Roman" w:cs="Times New Roman"/>
          <w:sz w:val="24"/>
          <w:szCs w:val="24"/>
        </w:rPr>
        <w:t>brought</w:t>
      </w:r>
      <w:r w:rsidR="009133AC" w:rsidRPr="0094403F">
        <w:rPr>
          <w:rFonts w:ascii="Times New Roman" w:hAnsi="Times New Roman" w:cs="Times New Roman"/>
          <w:sz w:val="24"/>
          <w:szCs w:val="24"/>
        </w:rPr>
        <w:t xml:space="preserve"> together a significant group of actors to work on a project with clearly defined aims, thereby allowing for the development of a shared goal</w:t>
      </w:r>
      <w:r w:rsidR="00B2437D">
        <w:rPr>
          <w:rFonts w:ascii="Times New Roman" w:hAnsi="Times New Roman" w:cs="Times New Roman"/>
          <w:sz w:val="24"/>
          <w:szCs w:val="24"/>
        </w:rPr>
        <w:t>.</w:t>
      </w:r>
      <w:r w:rsidR="009133AC" w:rsidRPr="0094403F">
        <w:rPr>
          <w:rFonts w:ascii="Times New Roman" w:hAnsi="Times New Roman" w:cs="Times New Roman"/>
          <w:sz w:val="24"/>
          <w:szCs w:val="24"/>
        </w:rPr>
        <w:t xml:space="preserve"> </w:t>
      </w:r>
      <w:r w:rsidR="00B2437D">
        <w:rPr>
          <w:rFonts w:ascii="Times New Roman" w:hAnsi="Times New Roman" w:cs="Times New Roman"/>
          <w:sz w:val="24"/>
          <w:szCs w:val="24"/>
        </w:rPr>
        <w:t>B</w:t>
      </w:r>
      <w:r w:rsidR="009133AC" w:rsidRPr="0094403F">
        <w:rPr>
          <w:rFonts w:ascii="Times New Roman" w:hAnsi="Times New Roman" w:cs="Times New Roman"/>
          <w:sz w:val="24"/>
          <w:szCs w:val="24"/>
        </w:rPr>
        <w:t xml:space="preserve">y </w:t>
      </w:r>
      <w:r w:rsidR="00B2437D">
        <w:rPr>
          <w:rFonts w:ascii="Times New Roman" w:hAnsi="Times New Roman" w:cs="Times New Roman"/>
          <w:sz w:val="24"/>
          <w:szCs w:val="24"/>
        </w:rPr>
        <w:t xml:space="preserve">also </w:t>
      </w:r>
      <w:r w:rsidR="009133AC" w:rsidRPr="0094403F">
        <w:rPr>
          <w:rFonts w:ascii="Times New Roman" w:hAnsi="Times New Roman" w:cs="Times New Roman"/>
          <w:sz w:val="24"/>
          <w:szCs w:val="24"/>
        </w:rPr>
        <w:t>providing public funding that can compensate for the lack of private sector investment</w:t>
      </w:r>
      <w:r w:rsidR="008D3FF0">
        <w:rPr>
          <w:rFonts w:ascii="Times New Roman" w:hAnsi="Times New Roman" w:cs="Times New Roman"/>
          <w:sz w:val="24"/>
          <w:szCs w:val="24"/>
        </w:rPr>
        <w:t>, t</w:t>
      </w:r>
      <w:r w:rsidRPr="00483505">
        <w:rPr>
          <w:rFonts w:ascii="Times New Roman" w:hAnsi="Times New Roman" w:cs="Times New Roman"/>
          <w:sz w:val="24"/>
          <w:szCs w:val="24"/>
        </w:rPr>
        <w:t>hese goals were to a large extent achieved. There were however several important challenges at the early stage of implementation, which highlight t</w:t>
      </w:r>
      <w:r w:rsidR="00B2437D">
        <w:rPr>
          <w:rFonts w:ascii="Times New Roman" w:hAnsi="Times New Roman" w:cs="Times New Roman"/>
          <w:sz w:val="24"/>
          <w:szCs w:val="24"/>
        </w:rPr>
        <w:t>he difficulties in nurturing</w:t>
      </w:r>
      <w:r w:rsidRPr="00483505">
        <w:rPr>
          <w:rFonts w:ascii="Times New Roman" w:hAnsi="Times New Roman" w:cs="Times New Roman"/>
          <w:sz w:val="24"/>
          <w:szCs w:val="24"/>
        </w:rPr>
        <w:t xml:space="preserve"> new relationships</w:t>
      </w:r>
      <w:r>
        <w:rPr>
          <w:rFonts w:ascii="Times New Roman" w:hAnsi="Times New Roman" w:cs="Times New Roman"/>
          <w:sz w:val="24"/>
          <w:szCs w:val="24"/>
        </w:rPr>
        <w:t xml:space="preserve"> at this level</w:t>
      </w:r>
      <w:r w:rsidRPr="00483505">
        <w:rPr>
          <w:rFonts w:ascii="Times New Roman" w:hAnsi="Times New Roman" w:cs="Times New Roman"/>
          <w:sz w:val="24"/>
          <w:szCs w:val="24"/>
        </w:rPr>
        <w:t>. First, was the difficulty of working across sectors, due to different organi</w:t>
      </w:r>
      <w:r w:rsidR="000A3C2C">
        <w:rPr>
          <w:rFonts w:ascii="Times New Roman" w:hAnsi="Times New Roman" w:cs="Times New Roman"/>
          <w:sz w:val="24"/>
          <w:szCs w:val="24"/>
        </w:rPr>
        <w:t>z</w:t>
      </w:r>
      <w:r w:rsidRPr="00483505">
        <w:rPr>
          <w:rFonts w:ascii="Times New Roman" w:hAnsi="Times New Roman" w:cs="Times New Roman"/>
          <w:sz w:val="24"/>
          <w:szCs w:val="24"/>
        </w:rPr>
        <w:t>ational cultures. For example, Devlin et al (2016) contrast the experience of the third sector in working with grassroots initiatives, which tend to be time consuming, versus the experience of technological firms of focusing on efficient product development (which implies avoiding excessive delays). The same authors also refer to initial difficulties of different partners in understanding what was legally required of them. This p</w:t>
      </w:r>
      <w:r>
        <w:rPr>
          <w:rFonts w:ascii="Times New Roman" w:hAnsi="Times New Roman" w:cs="Times New Roman"/>
          <w:sz w:val="24"/>
          <w:szCs w:val="24"/>
        </w:rPr>
        <w:t>roblem was made worse due to</w:t>
      </w:r>
      <w:r w:rsidRPr="00483505">
        <w:rPr>
          <w:rFonts w:ascii="Times New Roman" w:hAnsi="Times New Roman" w:cs="Times New Roman"/>
          <w:sz w:val="24"/>
          <w:szCs w:val="24"/>
        </w:rPr>
        <w:t xml:space="preserve"> austerity policies, which made several partners fearful that this programme would be an excuse for further cutbacks. </w:t>
      </w:r>
    </w:p>
    <w:p w14:paraId="508FB60D" w14:textId="77777777" w:rsidR="00390491" w:rsidRDefault="00390491" w:rsidP="00A2104E">
      <w:pPr>
        <w:spacing w:after="240" w:line="480" w:lineRule="auto"/>
        <w:rPr>
          <w:rFonts w:ascii="Times New Roman" w:hAnsi="Times New Roman" w:cs="Times New Roman"/>
          <w:sz w:val="24"/>
          <w:szCs w:val="24"/>
        </w:rPr>
      </w:pPr>
    </w:p>
    <w:p w14:paraId="5F485F4D" w14:textId="5F2E38B9" w:rsidR="00390491" w:rsidRDefault="00390491" w:rsidP="00A2104E">
      <w:pPr>
        <w:spacing w:after="240" w:line="480" w:lineRule="auto"/>
        <w:rPr>
          <w:rFonts w:ascii="Times New Roman" w:hAnsi="Times New Roman" w:cs="Times New Roman"/>
          <w:sz w:val="24"/>
          <w:szCs w:val="24"/>
        </w:rPr>
      </w:pPr>
      <w:r w:rsidRPr="00390491">
        <w:rPr>
          <w:rFonts w:ascii="Times New Roman" w:hAnsi="Times New Roman" w:cs="Times New Roman"/>
          <w:sz w:val="24"/>
          <w:szCs w:val="24"/>
        </w:rPr>
        <w:t>Table 2 here</w:t>
      </w:r>
    </w:p>
    <w:p w14:paraId="0B43050D" w14:textId="77777777" w:rsidR="00390491" w:rsidRDefault="00390491" w:rsidP="00A2104E">
      <w:pPr>
        <w:spacing w:after="240" w:line="480" w:lineRule="auto"/>
        <w:rPr>
          <w:rFonts w:ascii="Times New Roman" w:hAnsi="Times New Roman" w:cs="Times New Roman"/>
          <w:sz w:val="24"/>
          <w:szCs w:val="24"/>
        </w:rPr>
      </w:pPr>
    </w:p>
    <w:p w14:paraId="7191AE78" w14:textId="50259A9C" w:rsidR="00483505" w:rsidRPr="0094403F" w:rsidRDefault="00483505" w:rsidP="006A4FD5">
      <w:pPr>
        <w:spacing w:after="240" w:line="480" w:lineRule="auto"/>
        <w:rPr>
          <w:rFonts w:ascii="Times New Roman" w:hAnsi="Times New Roman" w:cs="Times New Roman"/>
          <w:sz w:val="24"/>
          <w:szCs w:val="24"/>
        </w:rPr>
      </w:pPr>
      <w:r w:rsidRPr="00483505">
        <w:rPr>
          <w:rFonts w:ascii="Times New Roman" w:hAnsi="Times New Roman" w:cs="Times New Roman"/>
          <w:sz w:val="24"/>
          <w:szCs w:val="24"/>
        </w:rPr>
        <w:lastRenderedPageBreak/>
        <w:t>Finally, both the evaluation and the interviews with represent</w:t>
      </w:r>
      <w:r w:rsidR="000A3C2C">
        <w:rPr>
          <w:rFonts w:ascii="Times New Roman" w:hAnsi="Times New Roman" w:cs="Times New Roman"/>
          <w:sz w:val="24"/>
          <w:szCs w:val="24"/>
        </w:rPr>
        <w:t>atives revealed that the organiz</w:t>
      </w:r>
      <w:r w:rsidRPr="00483505">
        <w:rPr>
          <w:rFonts w:ascii="Times New Roman" w:hAnsi="Times New Roman" w:cs="Times New Roman"/>
          <w:sz w:val="24"/>
          <w:szCs w:val="24"/>
        </w:rPr>
        <w:t xml:space="preserve">ational culture of the NHS and its size worked as </w:t>
      </w:r>
      <w:r w:rsidR="0004669A">
        <w:rPr>
          <w:rFonts w:ascii="Times New Roman" w:hAnsi="Times New Roman" w:cs="Times New Roman"/>
          <w:sz w:val="24"/>
          <w:szCs w:val="24"/>
        </w:rPr>
        <w:t xml:space="preserve">an </w:t>
      </w:r>
      <w:r w:rsidRPr="00483505">
        <w:rPr>
          <w:rFonts w:ascii="Times New Roman" w:hAnsi="Times New Roman" w:cs="Times New Roman"/>
          <w:sz w:val="24"/>
          <w:szCs w:val="24"/>
        </w:rPr>
        <w:t>impediment to change. Nonetheless, Devlin et al (2016) argued (a view also supported by the representatives of each project that were interviewed) that the existence of government funds, which provided financial incentives, a medium time horizon, and the fact that these were bottom-up projects, allowed for trust to be built among partners. The last point was an important achievement because one of the major hindrances identified by the leaders of these four projects was the conservatism of health experts. Their attitudes are partly the result of experimentation exhaustion, as experts go through several rounds of testing new technologies or approaches but rarely see results. However</w:t>
      </w:r>
      <w:r w:rsidR="0004669A">
        <w:rPr>
          <w:rFonts w:ascii="Times New Roman" w:hAnsi="Times New Roman" w:cs="Times New Roman"/>
          <w:sz w:val="24"/>
          <w:szCs w:val="24"/>
        </w:rPr>
        <w:t>,</w:t>
      </w:r>
      <w:r w:rsidRPr="00483505">
        <w:rPr>
          <w:rFonts w:ascii="Times New Roman" w:hAnsi="Times New Roman" w:cs="Times New Roman"/>
          <w:sz w:val="24"/>
          <w:szCs w:val="24"/>
        </w:rPr>
        <w:t xml:space="preserve"> they also related to the difficulty in enacting</w:t>
      </w:r>
      <w:r w:rsidR="000A3C2C">
        <w:rPr>
          <w:rFonts w:ascii="Times New Roman" w:hAnsi="Times New Roman" w:cs="Times New Roman"/>
          <w:sz w:val="24"/>
          <w:szCs w:val="24"/>
        </w:rPr>
        <w:t xml:space="preserve"> regime change, as large organiz</w:t>
      </w:r>
      <w:r w:rsidRPr="00483505">
        <w:rPr>
          <w:rFonts w:ascii="Times New Roman" w:hAnsi="Times New Roman" w:cs="Times New Roman"/>
          <w:sz w:val="24"/>
          <w:szCs w:val="24"/>
        </w:rPr>
        <w:t>ations such as the NHS tend to experience high levels of inertia and to favour stability rather than change. This is particularly true in the aforementioned context of austerity and financial cuts. These projects were capable of delivering change in this area by first engaging with early-adopters among the health experts. When results emerged, other experts were brought on board, either through peer-pressure (doctors advising other doctors to experiment with a new technology) or end-user pressure (as patients hear about a new technology and ask about it for themselves).</w:t>
      </w:r>
    </w:p>
    <w:p w14:paraId="34ECE7A9" w14:textId="6FBD2EEF" w:rsidR="00693DDC" w:rsidRDefault="0004669A" w:rsidP="00E758AB">
      <w:pPr>
        <w:spacing w:after="240" w:line="480" w:lineRule="auto"/>
        <w:rPr>
          <w:rFonts w:ascii="Times New Roman" w:hAnsi="Times New Roman" w:cs="Times New Roman"/>
          <w:sz w:val="24"/>
          <w:szCs w:val="24"/>
          <w:lang w:val="en-US"/>
        </w:rPr>
      </w:pPr>
      <w:r w:rsidRPr="000A3C2C">
        <w:rPr>
          <w:rFonts w:ascii="Times New Roman" w:hAnsi="Times New Roman" w:cs="Times New Roman"/>
          <w:sz w:val="24"/>
          <w:szCs w:val="24"/>
        </w:rPr>
        <w:t xml:space="preserve">As opposed to the bottom-up character </w:t>
      </w:r>
      <w:r w:rsidR="00693DDC" w:rsidRPr="000A3C2C">
        <w:rPr>
          <w:rFonts w:ascii="Times New Roman" w:hAnsi="Times New Roman" w:cs="Times New Roman"/>
          <w:sz w:val="24"/>
          <w:szCs w:val="24"/>
        </w:rPr>
        <w:t>of the</w:t>
      </w:r>
      <w:r w:rsidRPr="000A3C2C">
        <w:rPr>
          <w:rFonts w:ascii="Times New Roman" w:hAnsi="Times New Roman" w:cs="Times New Roman"/>
          <w:sz w:val="24"/>
          <w:szCs w:val="24"/>
        </w:rPr>
        <w:t xml:space="preserve"> DALLAS programme, i</w:t>
      </w:r>
      <w:r w:rsidR="00E758AB" w:rsidRPr="000A3C2C">
        <w:rPr>
          <w:rFonts w:ascii="Times New Roman" w:hAnsi="Times New Roman" w:cs="Times New Roman"/>
          <w:sz w:val="24"/>
          <w:szCs w:val="24"/>
          <w:lang w:val="en-US"/>
        </w:rPr>
        <w:t>n</w:t>
      </w:r>
      <w:r w:rsidR="00E758AB" w:rsidRPr="0094403F">
        <w:rPr>
          <w:rFonts w:ascii="Times New Roman" w:hAnsi="Times New Roman" w:cs="Times New Roman"/>
          <w:sz w:val="24"/>
          <w:szCs w:val="24"/>
          <w:lang w:val="en-US"/>
        </w:rPr>
        <w:t xml:space="preserve"> </w:t>
      </w:r>
      <w:r w:rsidR="0004794F">
        <w:rPr>
          <w:rFonts w:ascii="Times New Roman" w:hAnsi="Times New Roman" w:cs="Times New Roman"/>
          <w:sz w:val="24"/>
          <w:szCs w:val="24"/>
          <w:lang w:val="en-US"/>
        </w:rPr>
        <w:t xml:space="preserve">the Norwegian case, </w:t>
      </w:r>
      <w:r w:rsidR="00E758AB" w:rsidRPr="0094403F">
        <w:rPr>
          <w:rFonts w:ascii="Times New Roman" w:hAnsi="Times New Roman" w:cs="Times New Roman"/>
          <w:sz w:val="24"/>
          <w:szCs w:val="24"/>
          <w:lang w:val="en-US"/>
        </w:rPr>
        <w:t>directionality</w:t>
      </w:r>
      <w:r w:rsidR="0004794F">
        <w:rPr>
          <w:rFonts w:ascii="Times New Roman" w:hAnsi="Times New Roman" w:cs="Times New Roman"/>
          <w:sz w:val="24"/>
          <w:szCs w:val="24"/>
          <w:lang w:val="en-US"/>
        </w:rPr>
        <w:t xml:space="preserve"> was addressed</w:t>
      </w:r>
      <w:r w:rsidR="00483505">
        <w:rPr>
          <w:rFonts w:ascii="Times New Roman" w:hAnsi="Times New Roman" w:cs="Times New Roman"/>
          <w:sz w:val="24"/>
          <w:szCs w:val="24"/>
          <w:lang w:val="en-US"/>
        </w:rPr>
        <w:t xml:space="preserve"> </w:t>
      </w:r>
      <w:r w:rsidR="0004794F">
        <w:rPr>
          <w:rFonts w:ascii="Times New Roman" w:hAnsi="Times New Roman" w:cs="Times New Roman"/>
          <w:sz w:val="24"/>
          <w:szCs w:val="24"/>
          <w:lang w:val="en-US"/>
        </w:rPr>
        <w:t>through a</w:t>
      </w:r>
      <w:r w:rsidR="00E758AB" w:rsidRPr="0094403F">
        <w:rPr>
          <w:rFonts w:ascii="Times New Roman" w:hAnsi="Times New Roman" w:cs="Times New Roman"/>
          <w:sz w:val="24"/>
          <w:szCs w:val="24"/>
          <w:lang w:val="en-US"/>
        </w:rPr>
        <w:t xml:space="preserve"> pro-active and top-down approach, as the result of the leadership of the Norwegian Directorate of Health and the Association of local and regional authorities. </w:t>
      </w:r>
      <w:r w:rsidR="00A7346D">
        <w:rPr>
          <w:rFonts w:ascii="Times New Roman" w:hAnsi="Times New Roman" w:cs="Times New Roman"/>
          <w:sz w:val="24"/>
          <w:szCs w:val="24"/>
          <w:lang w:val="en-US"/>
        </w:rPr>
        <w:t>Admittedly, p</w:t>
      </w:r>
      <w:r w:rsidR="00A7346D" w:rsidRPr="0094403F">
        <w:rPr>
          <w:rFonts w:ascii="Times New Roman" w:hAnsi="Times New Roman" w:cs="Times New Roman"/>
          <w:sz w:val="24"/>
          <w:szCs w:val="24"/>
          <w:lang w:val="en-US"/>
        </w:rPr>
        <w:t xml:space="preserve">rior to the establishment of the national policy programme </w:t>
      </w:r>
      <w:r w:rsidR="00E35069">
        <w:rPr>
          <w:rFonts w:ascii="Times New Roman" w:hAnsi="Times New Roman" w:cs="Times New Roman"/>
          <w:sz w:val="24"/>
          <w:szCs w:val="24"/>
          <w:lang w:val="en-US"/>
        </w:rPr>
        <w:t>SAMVEIS</w:t>
      </w:r>
      <w:r w:rsidR="004D0ACA">
        <w:rPr>
          <w:rFonts w:ascii="Times New Roman" w:hAnsi="Times New Roman" w:cs="Times New Roman"/>
          <w:sz w:val="24"/>
          <w:szCs w:val="24"/>
          <w:lang w:val="en-US"/>
        </w:rPr>
        <w:t xml:space="preserve"> </w:t>
      </w:r>
      <w:r w:rsidR="00A7346D" w:rsidRPr="0094403F">
        <w:rPr>
          <w:rFonts w:ascii="Times New Roman" w:hAnsi="Times New Roman" w:cs="Times New Roman"/>
          <w:sz w:val="24"/>
          <w:szCs w:val="24"/>
          <w:lang w:val="en-US"/>
        </w:rPr>
        <w:t xml:space="preserve">many municipalities had already taken some initial bottom-up steps towards testing new technological solutions, in small-scale pilot projects in advance of the launch of the national policy programme. </w:t>
      </w:r>
      <w:r w:rsidR="00A7346D">
        <w:rPr>
          <w:rFonts w:ascii="Times New Roman" w:hAnsi="Times New Roman" w:cs="Times New Roman"/>
          <w:sz w:val="24"/>
          <w:szCs w:val="24"/>
          <w:lang w:val="en-US"/>
        </w:rPr>
        <w:t xml:space="preserve">Still, the establishment and testing phases </w:t>
      </w:r>
      <w:r w:rsidR="00A7346D" w:rsidRPr="0094403F">
        <w:rPr>
          <w:rFonts w:ascii="Times New Roman" w:hAnsi="Times New Roman" w:cs="Times New Roman"/>
          <w:sz w:val="24"/>
          <w:szCs w:val="24"/>
          <w:lang w:val="en-US"/>
        </w:rPr>
        <w:t xml:space="preserve">of </w:t>
      </w:r>
      <w:r w:rsidR="00E35069">
        <w:rPr>
          <w:rFonts w:ascii="Times New Roman" w:hAnsi="Times New Roman" w:cs="Times New Roman"/>
          <w:sz w:val="24"/>
          <w:szCs w:val="24"/>
          <w:lang w:val="en-US"/>
        </w:rPr>
        <w:t>SAMVEIS</w:t>
      </w:r>
      <w:r w:rsidR="00A7346D">
        <w:rPr>
          <w:rFonts w:ascii="Times New Roman" w:hAnsi="Times New Roman" w:cs="Times New Roman"/>
          <w:sz w:val="24"/>
          <w:szCs w:val="24"/>
          <w:lang w:val="en-US"/>
        </w:rPr>
        <w:t xml:space="preserve"> can </w:t>
      </w:r>
      <w:r w:rsidR="00A7346D">
        <w:rPr>
          <w:rFonts w:ascii="Times New Roman" w:hAnsi="Times New Roman" w:cs="Times New Roman"/>
          <w:sz w:val="24"/>
          <w:szCs w:val="24"/>
          <w:lang w:val="en-US"/>
        </w:rPr>
        <w:lastRenderedPageBreak/>
        <w:t xml:space="preserve">primarily be characterized as top-down in the sense that </w:t>
      </w:r>
      <w:r w:rsidR="00A7346D" w:rsidRPr="0094403F">
        <w:rPr>
          <w:rFonts w:ascii="Times New Roman" w:hAnsi="Times New Roman" w:cs="Times New Roman"/>
          <w:sz w:val="24"/>
          <w:szCs w:val="24"/>
          <w:lang w:val="en-US"/>
        </w:rPr>
        <w:t xml:space="preserve">the state has been heavily involved in shaping the issues of directionality and demand articulation. </w:t>
      </w:r>
    </w:p>
    <w:p w14:paraId="61591F53" w14:textId="460E53BE" w:rsidR="004D0ACA" w:rsidRDefault="00693DDC" w:rsidP="00E758AB">
      <w:pPr>
        <w:spacing w:after="240" w:line="480" w:lineRule="auto"/>
        <w:rPr>
          <w:rFonts w:ascii="Times New Roman" w:hAnsi="Times New Roman" w:cs="Times New Roman"/>
          <w:sz w:val="24"/>
          <w:szCs w:val="24"/>
        </w:rPr>
      </w:pPr>
      <w:r>
        <w:rPr>
          <w:rFonts w:ascii="Times New Roman" w:hAnsi="Times New Roman" w:cs="Times New Roman"/>
          <w:sz w:val="24"/>
          <w:szCs w:val="24"/>
          <w:lang w:val="en-US"/>
        </w:rPr>
        <w:t xml:space="preserve">It did this in a variety of ways: </w:t>
      </w:r>
      <w:r w:rsidR="000A3C2C">
        <w:rPr>
          <w:rFonts w:ascii="Times New Roman" w:hAnsi="Times New Roman" w:cs="Times New Roman"/>
          <w:sz w:val="24"/>
          <w:szCs w:val="24"/>
          <w:lang w:val="en-US"/>
        </w:rPr>
        <w:t>f</w:t>
      </w:r>
      <w:r w:rsidR="00A7346D" w:rsidRPr="0094403F">
        <w:rPr>
          <w:rFonts w:ascii="Times New Roman" w:hAnsi="Times New Roman" w:cs="Times New Roman"/>
          <w:sz w:val="24"/>
          <w:szCs w:val="24"/>
          <w:lang w:val="en-US"/>
        </w:rPr>
        <w:t xml:space="preserve">irst, the government took a lead role </w:t>
      </w:r>
      <w:r w:rsidR="00A7346D" w:rsidRPr="0094403F">
        <w:rPr>
          <w:rFonts w:ascii="Times New Roman" w:hAnsi="Times New Roman" w:cs="Times New Roman"/>
          <w:sz w:val="24"/>
          <w:szCs w:val="24"/>
        </w:rPr>
        <w:t>by setting the agenda and pointing out the direction and long term goals that welfare technologies shall be an integrated part of public health care services by 2020</w:t>
      </w:r>
      <w:r>
        <w:rPr>
          <w:rFonts w:ascii="Times New Roman" w:hAnsi="Times New Roman" w:cs="Times New Roman"/>
          <w:sz w:val="24"/>
          <w:szCs w:val="24"/>
          <w:lang w:val="en-US"/>
        </w:rPr>
        <w:t>.</w:t>
      </w:r>
      <w:r w:rsidR="00A7346D">
        <w:rPr>
          <w:rFonts w:ascii="Times New Roman" w:hAnsi="Times New Roman" w:cs="Times New Roman"/>
          <w:sz w:val="24"/>
          <w:szCs w:val="24"/>
          <w:lang w:val="en-US"/>
        </w:rPr>
        <w:t xml:space="preserve"> S</w:t>
      </w:r>
      <w:r w:rsidR="00A7346D" w:rsidRPr="0094403F">
        <w:rPr>
          <w:rFonts w:ascii="Times New Roman" w:hAnsi="Times New Roman" w:cs="Times New Roman"/>
          <w:sz w:val="24"/>
          <w:szCs w:val="24"/>
          <w:lang w:val="en-US"/>
        </w:rPr>
        <w:t xml:space="preserve">econd, </w:t>
      </w:r>
      <w:r w:rsidR="00A7346D" w:rsidRPr="0094403F">
        <w:rPr>
          <w:rFonts w:ascii="Times New Roman" w:hAnsi="Times New Roman" w:cs="Times New Roman"/>
          <w:sz w:val="24"/>
          <w:szCs w:val="24"/>
        </w:rPr>
        <w:t xml:space="preserve">the state was </w:t>
      </w:r>
      <w:r w:rsidR="000A3C2C">
        <w:rPr>
          <w:rFonts w:ascii="Times New Roman" w:hAnsi="Times New Roman" w:cs="Times New Roman"/>
          <w:sz w:val="24"/>
          <w:szCs w:val="24"/>
          <w:lang w:val="en-US"/>
        </w:rPr>
        <w:t>pro</w:t>
      </w:r>
      <w:r w:rsidR="00A7346D" w:rsidRPr="0094403F">
        <w:rPr>
          <w:rFonts w:ascii="Times New Roman" w:hAnsi="Times New Roman" w:cs="Times New Roman"/>
          <w:sz w:val="24"/>
          <w:szCs w:val="24"/>
          <w:lang w:val="en-US"/>
        </w:rPr>
        <w:t xml:space="preserve">active in </w:t>
      </w:r>
      <w:r w:rsidR="00A7346D" w:rsidRPr="0094403F">
        <w:rPr>
          <w:rFonts w:ascii="Times New Roman" w:hAnsi="Times New Roman" w:cs="Times New Roman"/>
          <w:sz w:val="24"/>
          <w:szCs w:val="24"/>
        </w:rPr>
        <w:t>establishing the policy programme</w:t>
      </w:r>
      <w:r w:rsidR="00A7346D">
        <w:rPr>
          <w:rFonts w:ascii="Times New Roman" w:hAnsi="Times New Roman" w:cs="Times New Roman"/>
          <w:sz w:val="24"/>
          <w:szCs w:val="24"/>
        </w:rPr>
        <w:t xml:space="preserve"> and initiating the ten pilot projects</w:t>
      </w:r>
      <w:r>
        <w:rPr>
          <w:rFonts w:ascii="Times New Roman" w:hAnsi="Times New Roman" w:cs="Times New Roman"/>
          <w:sz w:val="24"/>
          <w:szCs w:val="24"/>
        </w:rPr>
        <w:t>.</w:t>
      </w:r>
      <w:r w:rsidR="00A7346D">
        <w:rPr>
          <w:rFonts w:ascii="Times New Roman" w:hAnsi="Times New Roman" w:cs="Times New Roman"/>
          <w:sz w:val="24"/>
          <w:szCs w:val="24"/>
        </w:rPr>
        <w:t xml:space="preserve"> Third,</w:t>
      </w:r>
      <w:r w:rsidR="00A7346D" w:rsidRPr="0094403F">
        <w:rPr>
          <w:rFonts w:ascii="Times New Roman" w:hAnsi="Times New Roman" w:cs="Times New Roman"/>
          <w:sz w:val="24"/>
          <w:szCs w:val="24"/>
        </w:rPr>
        <w:t xml:space="preserve"> </w:t>
      </w:r>
      <w:r>
        <w:rPr>
          <w:rFonts w:ascii="Times New Roman" w:hAnsi="Times New Roman" w:cs="Times New Roman"/>
          <w:sz w:val="24"/>
          <w:szCs w:val="24"/>
        </w:rPr>
        <w:t>it</w:t>
      </w:r>
      <w:r w:rsidR="00A7346D" w:rsidRPr="0094403F">
        <w:rPr>
          <w:rFonts w:ascii="Times New Roman" w:hAnsi="Times New Roman" w:cs="Times New Roman"/>
          <w:sz w:val="24"/>
          <w:szCs w:val="24"/>
        </w:rPr>
        <w:t xml:space="preserve"> </w:t>
      </w:r>
      <w:r w:rsidR="00A7346D">
        <w:rPr>
          <w:rFonts w:ascii="Times New Roman" w:hAnsi="Times New Roman" w:cs="Times New Roman"/>
          <w:sz w:val="24"/>
          <w:szCs w:val="24"/>
        </w:rPr>
        <w:t>defin</w:t>
      </w:r>
      <w:r>
        <w:rPr>
          <w:rFonts w:ascii="Times New Roman" w:hAnsi="Times New Roman" w:cs="Times New Roman"/>
          <w:sz w:val="24"/>
          <w:szCs w:val="24"/>
        </w:rPr>
        <w:t>ed</w:t>
      </w:r>
      <w:r w:rsidR="00A7346D">
        <w:rPr>
          <w:rFonts w:ascii="Times New Roman" w:hAnsi="Times New Roman" w:cs="Times New Roman"/>
          <w:sz w:val="24"/>
          <w:szCs w:val="24"/>
        </w:rPr>
        <w:t xml:space="preserve"> the needs and</w:t>
      </w:r>
      <w:r w:rsidR="00A7346D" w:rsidRPr="0094403F">
        <w:rPr>
          <w:rFonts w:ascii="Times New Roman" w:hAnsi="Times New Roman" w:cs="Times New Roman"/>
          <w:sz w:val="24"/>
          <w:szCs w:val="24"/>
        </w:rPr>
        <w:t xml:space="preserve"> technologies </w:t>
      </w:r>
      <w:r w:rsidR="00A7346D">
        <w:rPr>
          <w:rFonts w:ascii="Times New Roman" w:hAnsi="Times New Roman" w:cs="Times New Roman"/>
          <w:sz w:val="24"/>
          <w:szCs w:val="24"/>
        </w:rPr>
        <w:t>to be developed and tested out</w:t>
      </w:r>
      <w:r>
        <w:rPr>
          <w:rFonts w:ascii="Times New Roman" w:hAnsi="Times New Roman" w:cs="Times New Roman"/>
          <w:sz w:val="24"/>
          <w:szCs w:val="24"/>
        </w:rPr>
        <w:t>.</w:t>
      </w:r>
      <w:r w:rsidR="00A7346D">
        <w:rPr>
          <w:rFonts w:ascii="Times New Roman" w:hAnsi="Times New Roman" w:cs="Times New Roman"/>
          <w:sz w:val="24"/>
          <w:szCs w:val="24"/>
        </w:rPr>
        <w:t xml:space="preserve"> Fourth, </w:t>
      </w:r>
      <w:r>
        <w:rPr>
          <w:rFonts w:ascii="Times New Roman" w:hAnsi="Times New Roman" w:cs="Times New Roman"/>
          <w:sz w:val="24"/>
          <w:szCs w:val="24"/>
        </w:rPr>
        <w:t>it</w:t>
      </w:r>
      <w:r w:rsidR="00A7346D">
        <w:rPr>
          <w:rFonts w:ascii="Times New Roman" w:hAnsi="Times New Roman" w:cs="Times New Roman"/>
          <w:sz w:val="24"/>
          <w:szCs w:val="24"/>
        </w:rPr>
        <w:t xml:space="preserve"> </w:t>
      </w:r>
      <w:r w:rsidR="00A7346D" w:rsidRPr="0094403F">
        <w:rPr>
          <w:rFonts w:ascii="Times New Roman" w:hAnsi="Times New Roman" w:cs="Times New Roman"/>
          <w:sz w:val="24"/>
          <w:szCs w:val="24"/>
        </w:rPr>
        <w:t>initiat</w:t>
      </w:r>
      <w:r>
        <w:rPr>
          <w:rFonts w:ascii="Times New Roman" w:hAnsi="Times New Roman" w:cs="Times New Roman"/>
          <w:sz w:val="24"/>
          <w:szCs w:val="24"/>
        </w:rPr>
        <w:t>ed</w:t>
      </w:r>
      <w:r w:rsidR="00A7346D" w:rsidRPr="0094403F">
        <w:rPr>
          <w:rFonts w:ascii="Times New Roman" w:hAnsi="Times New Roman" w:cs="Times New Roman"/>
          <w:sz w:val="24"/>
          <w:szCs w:val="24"/>
        </w:rPr>
        <w:t xml:space="preserve"> </w:t>
      </w:r>
      <w:r w:rsidR="00A7346D">
        <w:rPr>
          <w:rFonts w:ascii="Times New Roman" w:hAnsi="Times New Roman" w:cs="Times New Roman"/>
          <w:sz w:val="24"/>
          <w:szCs w:val="24"/>
        </w:rPr>
        <w:t xml:space="preserve">joint </w:t>
      </w:r>
      <w:r w:rsidR="00A7346D" w:rsidRPr="0094403F">
        <w:rPr>
          <w:rFonts w:ascii="Times New Roman" w:hAnsi="Times New Roman" w:cs="Times New Roman"/>
          <w:sz w:val="24"/>
          <w:szCs w:val="24"/>
        </w:rPr>
        <w:t xml:space="preserve">activities and networks to ensure interaction </w:t>
      </w:r>
      <w:r w:rsidR="00A7346D">
        <w:rPr>
          <w:rFonts w:ascii="Times New Roman" w:hAnsi="Times New Roman" w:cs="Times New Roman"/>
          <w:sz w:val="24"/>
          <w:szCs w:val="24"/>
        </w:rPr>
        <w:t>and learning across</w:t>
      </w:r>
      <w:r w:rsidR="00A7346D" w:rsidRPr="0094403F">
        <w:rPr>
          <w:rFonts w:ascii="Times New Roman" w:hAnsi="Times New Roman" w:cs="Times New Roman"/>
          <w:sz w:val="24"/>
          <w:szCs w:val="24"/>
        </w:rPr>
        <w:t xml:space="preserve"> </w:t>
      </w:r>
      <w:r w:rsidR="00A7346D">
        <w:rPr>
          <w:rFonts w:ascii="Times New Roman" w:hAnsi="Times New Roman" w:cs="Times New Roman"/>
          <w:sz w:val="24"/>
          <w:szCs w:val="24"/>
        </w:rPr>
        <w:t xml:space="preserve">the projects and between </w:t>
      </w:r>
      <w:r w:rsidR="00A7346D" w:rsidRPr="0094403F">
        <w:rPr>
          <w:rFonts w:ascii="Times New Roman" w:hAnsi="Times New Roman" w:cs="Times New Roman"/>
          <w:sz w:val="24"/>
          <w:szCs w:val="24"/>
        </w:rPr>
        <w:t>municipalities</w:t>
      </w:r>
      <w:r w:rsidR="00A7346D">
        <w:rPr>
          <w:rFonts w:ascii="Times New Roman" w:hAnsi="Times New Roman" w:cs="Times New Roman"/>
          <w:sz w:val="24"/>
          <w:szCs w:val="24"/>
        </w:rPr>
        <w:t xml:space="preserve">, </w:t>
      </w:r>
      <w:r w:rsidR="00A7346D" w:rsidRPr="0094403F">
        <w:rPr>
          <w:rFonts w:ascii="Times New Roman" w:hAnsi="Times New Roman" w:cs="Times New Roman"/>
          <w:sz w:val="24"/>
          <w:szCs w:val="24"/>
        </w:rPr>
        <w:t>industry</w:t>
      </w:r>
      <w:r w:rsidR="00A7346D">
        <w:rPr>
          <w:rFonts w:ascii="Times New Roman" w:hAnsi="Times New Roman" w:cs="Times New Roman"/>
          <w:sz w:val="24"/>
          <w:szCs w:val="24"/>
        </w:rPr>
        <w:t xml:space="preserve"> and users</w:t>
      </w:r>
      <w:r>
        <w:rPr>
          <w:rFonts w:ascii="Times New Roman" w:hAnsi="Times New Roman" w:cs="Times New Roman"/>
          <w:sz w:val="24"/>
          <w:szCs w:val="24"/>
        </w:rPr>
        <w:t xml:space="preserve">. And fifth, it used </w:t>
      </w:r>
      <w:r w:rsidR="00354C10">
        <w:rPr>
          <w:rFonts w:ascii="Times New Roman" w:hAnsi="Times New Roman" w:cs="Times New Roman"/>
          <w:sz w:val="24"/>
          <w:szCs w:val="24"/>
        </w:rPr>
        <w:t xml:space="preserve">a technological standard to </w:t>
      </w:r>
      <w:r w:rsidR="00354C10" w:rsidRPr="0094403F">
        <w:rPr>
          <w:rFonts w:ascii="Times New Roman" w:hAnsi="Times New Roman" w:cs="Times New Roman"/>
          <w:sz w:val="24"/>
          <w:szCs w:val="24"/>
        </w:rPr>
        <w:t>ensure interoperability</w:t>
      </w:r>
      <w:r w:rsidR="00354C10">
        <w:rPr>
          <w:rFonts w:ascii="Times New Roman" w:hAnsi="Times New Roman" w:cs="Times New Roman"/>
          <w:sz w:val="24"/>
          <w:szCs w:val="24"/>
        </w:rPr>
        <w:t xml:space="preserve"> and to stimulate competition and establish a market</w:t>
      </w:r>
      <w:r w:rsidR="00A7346D" w:rsidRPr="0094403F">
        <w:rPr>
          <w:rFonts w:ascii="Times New Roman" w:hAnsi="Times New Roman" w:cs="Times New Roman"/>
          <w:sz w:val="24"/>
          <w:szCs w:val="24"/>
        </w:rPr>
        <w:t xml:space="preserve">. </w:t>
      </w:r>
    </w:p>
    <w:p w14:paraId="51FE62E1" w14:textId="069995E3" w:rsidR="00A7346D" w:rsidRDefault="00A7346D" w:rsidP="00E758AB">
      <w:pPr>
        <w:spacing w:after="240" w:line="480" w:lineRule="auto"/>
        <w:rPr>
          <w:rFonts w:ascii="Times New Roman" w:hAnsi="Times New Roman" w:cs="Times New Roman"/>
          <w:sz w:val="24"/>
          <w:szCs w:val="24"/>
          <w:lang w:val="en-US"/>
        </w:rPr>
      </w:pPr>
      <w:r w:rsidRPr="0094403F">
        <w:rPr>
          <w:rFonts w:ascii="Times New Roman" w:hAnsi="Times New Roman" w:cs="Times New Roman"/>
          <w:sz w:val="24"/>
          <w:szCs w:val="24"/>
        </w:rPr>
        <w:t xml:space="preserve">The importance of the state in this process suggests that transition processes may need strong leadership to initiate and guide the process. This </w:t>
      </w:r>
      <w:r>
        <w:rPr>
          <w:rFonts w:ascii="Times New Roman" w:hAnsi="Times New Roman" w:cs="Times New Roman"/>
          <w:sz w:val="24"/>
          <w:szCs w:val="24"/>
        </w:rPr>
        <w:t xml:space="preserve">is </w:t>
      </w:r>
      <w:r w:rsidRPr="0094403F">
        <w:rPr>
          <w:rFonts w:ascii="Times New Roman" w:hAnsi="Times New Roman" w:cs="Times New Roman"/>
          <w:sz w:val="24"/>
          <w:szCs w:val="24"/>
        </w:rPr>
        <w:t xml:space="preserve">in line with the argument of Shove and Walker (2007), according to whom the governance of transition processes cannot be fully understood as a self-organizing process. </w:t>
      </w:r>
      <w:r w:rsidRPr="0094403F">
        <w:rPr>
          <w:rFonts w:ascii="Times New Roman" w:hAnsi="Times New Roman" w:cs="Times New Roman"/>
          <w:sz w:val="24"/>
          <w:szCs w:val="24"/>
          <w:lang w:val="en-US"/>
        </w:rPr>
        <w:t>The adoption of a top-down approach was</w:t>
      </w:r>
      <w:r w:rsidR="00693DDC">
        <w:rPr>
          <w:rFonts w:ascii="Times New Roman" w:hAnsi="Times New Roman" w:cs="Times New Roman"/>
          <w:sz w:val="24"/>
          <w:szCs w:val="24"/>
          <w:lang w:val="en-US"/>
        </w:rPr>
        <w:t xml:space="preserve"> furthermore</w:t>
      </w:r>
      <w:r w:rsidRPr="0094403F">
        <w:rPr>
          <w:rFonts w:ascii="Times New Roman" w:hAnsi="Times New Roman" w:cs="Times New Roman"/>
          <w:sz w:val="24"/>
          <w:szCs w:val="24"/>
          <w:lang w:val="en-US"/>
        </w:rPr>
        <w:t xml:space="preserve"> justified by the previous experience of Denmark, where the “Welfare technology funds” from 2008 was liquidated due to coordination challenges across a multitude of fragmented and smaller projects. </w:t>
      </w:r>
    </w:p>
    <w:p w14:paraId="0CA0EF99" w14:textId="72E5662E" w:rsidR="00632389" w:rsidRPr="0094403F" w:rsidRDefault="00617699" w:rsidP="00DA712E">
      <w:pPr>
        <w:pStyle w:val="Heading3"/>
      </w:pPr>
      <w:r w:rsidRPr="00C261E5">
        <w:t>Demand</w:t>
      </w:r>
      <w:r w:rsidR="00122334" w:rsidRPr="00DA712E">
        <w:rPr>
          <w:i w:val="0"/>
        </w:rPr>
        <w:t xml:space="preserve"> </w:t>
      </w:r>
    </w:p>
    <w:p w14:paraId="743B5C42" w14:textId="2489CED0" w:rsidR="00617699" w:rsidRPr="0094403F" w:rsidRDefault="00617699" w:rsidP="00617699">
      <w:pPr>
        <w:spacing w:after="240" w:line="480" w:lineRule="auto"/>
        <w:rPr>
          <w:rFonts w:ascii="Times New Roman" w:hAnsi="Times New Roman" w:cs="Times New Roman"/>
          <w:sz w:val="24"/>
          <w:szCs w:val="24"/>
        </w:rPr>
      </w:pPr>
      <w:r w:rsidRPr="0094403F">
        <w:rPr>
          <w:rFonts w:ascii="Times New Roman" w:hAnsi="Times New Roman" w:cs="Times New Roman"/>
          <w:sz w:val="24"/>
          <w:szCs w:val="24"/>
        </w:rPr>
        <w:t xml:space="preserve">Regarding demand articulation failures, </w:t>
      </w:r>
      <w:r w:rsidR="00483505">
        <w:rPr>
          <w:rFonts w:ascii="Times New Roman" w:hAnsi="Times New Roman" w:cs="Times New Roman"/>
          <w:sz w:val="24"/>
          <w:szCs w:val="24"/>
        </w:rPr>
        <w:t>DALLA</w:t>
      </w:r>
      <w:r w:rsidR="00F7708F">
        <w:rPr>
          <w:rFonts w:ascii="Times New Roman" w:hAnsi="Times New Roman" w:cs="Times New Roman"/>
          <w:sz w:val="24"/>
          <w:szCs w:val="24"/>
        </w:rPr>
        <w:t>S</w:t>
      </w:r>
      <w:r w:rsidRPr="0094403F">
        <w:rPr>
          <w:rFonts w:ascii="Times New Roman" w:hAnsi="Times New Roman" w:cs="Times New Roman"/>
          <w:sz w:val="24"/>
          <w:szCs w:val="24"/>
        </w:rPr>
        <w:t xml:space="preserve"> </w:t>
      </w:r>
      <w:r w:rsidR="008053B1">
        <w:rPr>
          <w:rFonts w:ascii="Times New Roman" w:hAnsi="Times New Roman" w:cs="Times New Roman"/>
          <w:sz w:val="24"/>
          <w:szCs w:val="24"/>
        </w:rPr>
        <w:t>dealt</w:t>
      </w:r>
      <w:r w:rsidRPr="0094403F">
        <w:rPr>
          <w:rFonts w:ascii="Times New Roman" w:hAnsi="Times New Roman" w:cs="Times New Roman"/>
          <w:sz w:val="24"/>
          <w:szCs w:val="24"/>
        </w:rPr>
        <w:t xml:space="preserve"> with two of the most important</w:t>
      </w:r>
      <w:r w:rsidR="00655804">
        <w:rPr>
          <w:rFonts w:ascii="Times New Roman" w:hAnsi="Times New Roman" w:cs="Times New Roman"/>
          <w:sz w:val="24"/>
          <w:szCs w:val="24"/>
        </w:rPr>
        <w:t xml:space="preserve"> failures in the current system</w:t>
      </w:r>
      <w:r w:rsidR="00693DDC">
        <w:rPr>
          <w:rFonts w:ascii="Times New Roman" w:hAnsi="Times New Roman" w:cs="Times New Roman"/>
          <w:sz w:val="24"/>
          <w:szCs w:val="24"/>
        </w:rPr>
        <w:t>:</w:t>
      </w:r>
      <w:r w:rsidRPr="0094403F">
        <w:rPr>
          <w:rFonts w:ascii="Times New Roman" w:hAnsi="Times New Roman" w:cs="Times New Roman"/>
          <w:sz w:val="24"/>
          <w:szCs w:val="24"/>
        </w:rPr>
        <w:t xml:space="preserve"> the lack of knowledge among users and health experts about the benefits of new technologies or services, and the lack of technological literacy that would allow patients to use these technologies. This is particularly the case for elderly patients who struggle to use ICTs more effectively. The emphasis on co-design and the involvement of a large number of end users contributed, even if only slightly, to address both issues. This </w:t>
      </w:r>
      <w:r w:rsidRPr="0094403F">
        <w:rPr>
          <w:rFonts w:ascii="Times New Roman" w:hAnsi="Times New Roman" w:cs="Times New Roman"/>
          <w:sz w:val="24"/>
          <w:szCs w:val="24"/>
        </w:rPr>
        <w:lastRenderedPageBreak/>
        <w:t xml:space="preserve">process can however have powerful self-reinforcing effects, since as a technology diffuses through the community it encourages uptake even among those who are not involved in the project. On a different level, </w:t>
      </w:r>
      <w:r w:rsidR="00483505">
        <w:rPr>
          <w:rFonts w:ascii="Times New Roman" w:hAnsi="Times New Roman" w:cs="Times New Roman"/>
          <w:sz w:val="24"/>
          <w:szCs w:val="24"/>
        </w:rPr>
        <w:t>one of the projects funded by this programme</w:t>
      </w:r>
      <w:r w:rsidRPr="0094403F">
        <w:rPr>
          <w:rFonts w:ascii="Times New Roman" w:hAnsi="Times New Roman" w:cs="Times New Roman"/>
          <w:sz w:val="24"/>
          <w:szCs w:val="24"/>
        </w:rPr>
        <w:t xml:space="preserve"> contributed to address this systemic failure by encouraging interoperability between technologies, which is one of the main barriers to achieve higher de</w:t>
      </w:r>
      <w:r w:rsidR="000A3C2C">
        <w:rPr>
          <w:rFonts w:ascii="Times New Roman" w:hAnsi="Times New Roman" w:cs="Times New Roman"/>
          <w:sz w:val="24"/>
          <w:szCs w:val="24"/>
        </w:rPr>
        <w:t xml:space="preserve">mand, scale economies and lower </w:t>
      </w:r>
      <w:r w:rsidRPr="0094403F">
        <w:rPr>
          <w:rFonts w:ascii="Times New Roman" w:hAnsi="Times New Roman" w:cs="Times New Roman"/>
          <w:sz w:val="24"/>
          <w:szCs w:val="24"/>
        </w:rPr>
        <w:t xml:space="preserve">costs. </w:t>
      </w:r>
    </w:p>
    <w:p w14:paraId="19FF4640" w14:textId="2071A37E" w:rsidR="00C50366" w:rsidRPr="0094403F" w:rsidRDefault="00C50366" w:rsidP="00C50366">
      <w:pPr>
        <w:spacing w:after="240" w:line="480" w:lineRule="auto"/>
        <w:rPr>
          <w:rFonts w:ascii="Times New Roman" w:hAnsi="Times New Roman" w:cs="Times New Roman"/>
          <w:sz w:val="24"/>
          <w:szCs w:val="24"/>
          <w:lang w:val="en-US"/>
        </w:rPr>
      </w:pPr>
      <w:r w:rsidRPr="0094403F">
        <w:rPr>
          <w:rFonts w:ascii="Times New Roman" w:hAnsi="Times New Roman" w:cs="Times New Roman"/>
          <w:sz w:val="24"/>
          <w:szCs w:val="24"/>
          <w:lang w:val="en-US"/>
        </w:rPr>
        <w:t xml:space="preserve">In </w:t>
      </w:r>
      <w:r w:rsidR="006C2FCF">
        <w:rPr>
          <w:rFonts w:ascii="Times New Roman" w:hAnsi="Times New Roman" w:cs="Times New Roman"/>
          <w:sz w:val="24"/>
          <w:szCs w:val="24"/>
          <w:lang w:val="en-US"/>
        </w:rPr>
        <w:t xml:space="preserve">a similar way, in </w:t>
      </w:r>
      <w:r w:rsidRPr="0094403F">
        <w:rPr>
          <w:rFonts w:ascii="Times New Roman" w:hAnsi="Times New Roman" w:cs="Times New Roman"/>
          <w:sz w:val="24"/>
          <w:szCs w:val="24"/>
          <w:lang w:val="en-US"/>
        </w:rPr>
        <w:t>order to facilitate the emergence of a market for assisted living technologies</w:t>
      </w:r>
      <w:r w:rsidR="00390491">
        <w:rPr>
          <w:rFonts w:ascii="Times New Roman" w:hAnsi="Times New Roman" w:cs="Times New Roman"/>
          <w:sz w:val="24"/>
          <w:szCs w:val="24"/>
          <w:lang w:val="en-US"/>
        </w:rPr>
        <w:t xml:space="preserve"> and thereby increase demand</w:t>
      </w:r>
      <w:r w:rsidRPr="0094403F">
        <w:rPr>
          <w:rFonts w:ascii="Times New Roman" w:hAnsi="Times New Roman" w:cs="Times New Roman"/>
          <w:sz w:val="24"/>
          <w:szCs w:val="24"/>
          <w:lang w:val="en-US"/>
        </w:rPr>
        <w:t>,</w:t>
      </w:r>
      <w:r w:rsidR="006C2FCF">
        <w:rPr>
          <w:rFonts w:ascii="Times New Roman" w:hAnsi="Times New Roman" w:cs="Times New Roman"/>
          <w:sz w:val="24"/>
          <w:szCs w:val="24"/>
          <w:lang w:val="en-US"/>
        </w:rPr>
        <w:t xml:space="preserve"> </w:t>
      </w:r>
      <w:r w:rsidR="006C2FCF" w:rsidRPr="0094403F">
        <w:rPr>
          <w:rFonts w:ascii="Times New Roman" w:hAnsi="Times New Roman" w:cs="Times New Roman"/>
          <w:sz w:val="24"/>
          <w:szCs w:val="24"/>
          <w:lang w:val="en-US"/>
        </w:rPr>
        <w:t>the Norwegian Directorate of Health</w:t>
      </w:r>
      <w:r w:rsidRPr="0094403F">
        <w:rPr>
          <w:rFonts w:ascii="Times New Roman" w:hAnsi="Times New Roman" w:cs="Times New Roman"/>
          <w:sz w:val="24"/>
          <w:szCs w:val="24"/>
          <w:lang w:val="en-US"/>
        </w:rPr>
        <w:t xml:space="preserve"> applied the Continua framework. Continua is an international alliance which works towards the definition of standards to ensure technological interoperability, as it creates the conditions for the development of diverse technological solutions based on the same </w:t>
      </w:r>
      <w:r w:rsidR="00C86730">
        <w:rPr>
          <w:rFonts w:ascii="Times New Roman" w:hAnsi="Times New Roman" w:cs="Times New Roman"/>
          <w:sz w:val="24"/>
          <w:szCs w:val="24"/>
          <w:lang w:val="en-US"/>
        </w:rPr>
        <w:t xml:space="preserve">basic </w:t>
      </w:r>
      <w:r w:rsidRPr="0094403F">
        <w:rPr>
          <w:rFonts w:ascii="Times New Roman" w:hAnsi="Times New Roman" w:cs="Times New Roman"/>
          <w:sz w:val="24"/>
          <w:szCs w:val="24"/>
          <w:lang w:val="en-US"/>
        </w:rPr>
        <w:t xml:space="preserve">IT architecture. Continua </w:t>
      </w:r>
      <w:r w:rsidR="00C86730">
        <w:rPr>
          <w:rFonts w:ascii="Times New Roman" w:hAnsi="Times New Roman" w:cs="Times New Roman"/>
          <w:sz w:val="24"/>
          <w:szCs w:val="24"/>
          <w:lang w:val="en-US"/>
        </w:rPr>
        <w:t xml:space="preserve">was </w:t>
      </w:r>
      <w:r w:rsidRPr="0094403F">
        <w:rPr>
          <w:rFonts w:ascii="Times New Roman" w:hAnsi="Times New Roman" w:cs="Times New Roman"/>
          <w:sz w:val="24"/>
          <w:szCs w:val="24"/>
          <w:lang w:val="en-US"/>
        </w:rPr>
        <w:t xml:space="preserve">a recommended standard from 2016, and </w:t>
      </w:r>
      <w:r w:rsidR="00C86730">
        <w:rPr>
          <w:rFonts w:ascii="Times New Roman" w:hAnsi="Times New Roman" w:cs="Times New Roman"/>
          <w:sz w:val="24"/>
          <w:szCs w:val="24"/>
          <w:lang w:val="en-US"/>
        </w:rPr>
        <w:t xml:space="preserve">will </w:t>
      </w:r>
      <w:r w:rsidRPr="0094403F">
        <w:rPr>
          <w:rFonts w:ascii="Times New Roman" w:hAnsi="Times New Roman" w:cs="Times New Roman"/>
          <w:sz w:val="24"/>
          <w:szCs w:val="24"/>
          <w:lang w:val="en-US"/>
        </w:rPr>
        <w:t xml:space="preserve">be made compulsory from 2019. After the initial focus on technical standardization, the programme has increasingly emphasized the importance of </w:t>
      </w:r>
      <w:r w:rsidR="000A3C2C" w:rsidRPr="0094403F">
        <w:rPr>
          <w:rFonts w:ascii="Times New Roman" w:hAnsi="Times New Roman" w:cs="Times New Roman"/>
          <w:sz w:val="24"/>
          <w:szCs w:val="24"/>
          <w:lang w:val="en-US"/>
        </w:rPr>
        <w:t>standardizing</w:t>
      </w:r>
      <w:r w:rsidRPr="0094403F">
        <w:rPr>
          <w:rFonts w:ascii="Times New Roman" w:hAnsi="Times New Roman" w:cs="Times New Roman"/>
          <w:sz w:val="24"/>
          <w:szCs w:val="24"/>
          <w:lang w:val="en-US"/>
        </w:rPr>
        <w:t xml:space="preserve"> services, by developing guidelines for various kinds of assisted living services associated with different types of municipal characteristics and needs. </w:t>
      </w:r>
    </w:p>
    <w:p w14:paraId="235CE3DD" w14:textId="435B3167" w:rsidR="00617699" w:rsidRPr="0094403F" w:rsidRDefault="00BB2911" w:rsidP="00DA712E">
      <w:pPr>
        <w:pStyle w:val="Heading3"/>
      </w:pPr>
      <w:r w:rsidRPr="0094403F">
        <w:t>Coordination</w:t>
      </w:r>
    </w:p>
    <w:p w14:paraId="3D0EACE4" w14:textId="03E298A7" w:rsidR="00BB2911" w:rsidRPr="0094403F" w:rsidRDefault="00BB2911" w:rsidP="00BB2911">
      <w:pPr>
        <w:spacing w:after="240" w:line="480" w:lineRule="auto"/>
        <w:rPr>
          <w:rFonts w:ascii="Times New Roman" w:hAnsi="Times New Roman" w:cs="Times New Roman"/>
          <w:sz w:val="24"/>
          <w:szCs w:val="24"/>
        </w:rPr>
      </w:pPr>
      <w:r w:rsidRPr="0094403F">
        <w:rPr>
          <w:rFonts w:ascii="Times New Roman" w:hAnsi="Times New Roman" w:cs="Times New Roman"/>
          <w:sz w:val="24"/>
          <w:szCs w:val="24"/>
        </w:rPr>
        <w:t>The main shortcomings</w:t>
      </w:r>
      <w:r w:rsidR="00390491">
        <w:rPr>
          <w:rFonts w:ascii="Times New Roman" w:hAnsi="Times New Roman" w:cs="Times New Roman"/>
          <w:sz w:val="24"/>
          <w:szCs w:val="24"/>
        </w:rPr>
        <w:t xml:space="preserve"> in the UK</w:t>
      </w:r>
      <w:r w:rsidRPr="0094403F">
        <w:rPr>
          <w:rFonts w:ascii="Times New Roman" w:hAnsi="Times New Roman" w:cs="Times New Roman"/>
          <w:sz w:val="24"/>
          <w:szCs w:val="24"/>
        </w:rPr>
        <w:t xml:space="preserve"> were at the level of vertical and horizontal policy coordination and reflexivity. The failures in vertical policy coordination arise because though these projects are successful within their own environment (according to the evaluation provided by DALLAS and the interpretation of representatives from the four projects), the regime in t</w:t>
      </w:r>
      <w:r w:rsidR="000A3C2C">
        <w:rPr>
          <w:rFonts w:ascii="Times New Roman" w:hAnsi="Times New Roman" w:cs="Times New Roman"/>
          <w:sz w:val="24"/>
          <w:szCs w:val="24"/>
        </w:rPr>
        <w:t>he UK lacks intermediary organiz</w:t>
      </w:r>
      <w:r w:rsidRPr="0094403F">
        <w:rPr>
          <w:rFonts w:ascii="Times New Roman" w:hAnsi="Times New Roman" w:cs="Times New Roman"/>
          <w:sz w:val="24"/>
          <w:szCs w:val="24"/>
        </w:rPr>
        <w:t>ations or the political will to upscale and disseminate good results. While discussing the achievements and strengths of their projects, the representatives of these four initiatives consistently referred t</w:t>
      </w:r>
      <w:r w:rsidR="000A3C2C">
        <w:rPr>
          <w:rFonts w:ascii="Times New Roman" w:hAnsi="Times New Roman" w:cs="Times New Roman"/>
          <w:sz w:val="24"/>
          <w:szCs w:val="24"/>
        </w:rPr>
        <w:t>o the NHS as an external organiz</w:t>
      </w:r>
      <w:r w:rsidRPr="0094403F">
        <w:rPr>
          <w:rFonts w:ascii="Times New Roman" w:hAnsi="Times New Roman" w:cs="Times New Roman"/>
          <w:sz w:val="24"/>
          <w:szCs w:val="24"/>
        </w:rPr>
        <w:t xml:space="preserve">ation that prevents change, rather than a partner or even an interested party. </w:t>
      </w:r>
    </w:p>
    <w:p w14:paraId="770B87DB" w14:textId="264E9BDB" w:rsidR="00BB2911" w:rsidRPr="0094403F" w:rsidRDefault="00BB2911" w:rsidP="00BB2911">
      <w:pPr>
        <w:spacing w:after="240" w:line="480" w:lineRule="auto"/>
        <w:rPr>
          <w:rFonts w:ascii="Times New Roman" w:hAnsi="Times New Roman" w:cs="Times New Roman"/>
          <w:sz w:val="24"/>
          <w:szCs w:val="24"/>
        </w:rPr>
      </w:pPr>
      <w:r w:rsidRPr="0094403F">
        <w:rPr>
          <w:rFonts w:ascii="Times New Roman" w:hAnsi="Times New Roman" w:cs="Times New Roman"/>
          <w:sz w:val="24"/>
          <w:szCs w:val="24"/>
        </w:rPr>
        <w:lastRenderedPageBreak/>
        <w:t>Also at the level of vertical policy coordination, system change is blocked by the fact that community based health initiatives tend to rely on funding from municipalities. This presents two set of problems, according to experts interviewed working in ageing issues both in Wales and in England: on the one hand, local authorities in the UK continue to have limited financial and administrative autonomy and are dependent on funding decisions from central government. On the other hand, new approaches to assisted living tend to privilege care and prevention, which has positive effects in terms of reducing hospital admissions and the need for expensive surgeries (such as hip replacement surgeries). These savings however are felt in the health budget and not in the local authorities’ budget, which are in fact financing such initiatives. Therefore</w:t>
      </w:r>
      <w:r w:rsidR="00922E1C">
        <w:rPr>
          <w:rFonts w:ascii="Times New Roman" w:hAnsi="Times New Roman" w:cs="Times New Roman"/>
          <w:sz w:val="24"/>
          <w:szCs w:val="24"/>
        </w:rPr>
        <w:t>,</w:t>
      </w:r>
      <w:r w:rsidRPr="0094403F">
        <w:rPr>
          <w:rFonts w:ascii="Times New Roman" w:hAnsi="Times New Roman" w:cs="Times New Roman"/>
          <w:sz w:val="24"/>
          <w:szCs w:val="24"/>
        </w:rPr>
        <w:t xml:space="preserve"> the lack of policy coordination creates perverse incentives, where the organi</w:t>
      </w:r>
      <w:r w:rsidR="000A3C2C">
        <w:rPr>
          <w:rFonts w:ascii="Times New Roman" w:hAnsi="Times New Roman" w:cs="Times New Roman"/>
          <w:sz w:val="24"/>
          <w:szCs w:val="24"/>
        </w:rPr>
        <w:t>z</w:t>
      </w:r>
      <w:r w:rsidRPr="0094403F">
        <w:rPr>
          <w:rFonts w:ascii="Times New Roman" w:hAnsi="Times New Roman" w:cs="Times New Roman"/>
          <w:sz w:val="24"/>
          <w:szCs w:val="24"/>
        </w:rPr>
        <w:t xml:space="preserve">ations making the investments are not the ones benefiting financially.  </w:t>
      </w:r>
    </w:p>
    <w:p w14:paraId="1067E562" w14:textId="2F8A9922" w:rsidR="00BB2911" w:rsidRPr="0094403F" w:rsidRDefault="00BB2911" w:rsidP="00BB2911">
      <w:pPr>
        <w:spacing w:after="240" w:line="480" w:lineRule="auto"/>
        <w:rPr>
          <w:rFonts w:ascii="Times New Roman" w:hAnsi="Times New Roman" w:cs="Times New Roman"/>
          <w:sz w:val="24"/>
          <w:szCs w:val="24"/>
        </w:rPr>
      </w:pPr>
      <w:r w:rsidRPr="0094403F">
        <w:rPr>
          <w:rFonts w:ascii="Times New Roman" w:hAnsi="Times New Roman" w:cs="Times New Roman"/>
          <w:sz w:val="24"/>
          <w:szCs w:val="24"/>
        </w:rPr>
        <w:t>In terms of horizontal coordination, these projects reveal shortcomings due t</w:t>
      </w:r>
      <w:r w:rsidR="000A3C2C">
        <w:rPr>
          <w:rFonts w:ascii="Times New Roman" w:hAnsi="Times New Roman" w:cs="Times New Roman"/>
          <w:sz w:val="24"/>
          <w:szCs w:val="24"/>
        </w:rPr>
        <w:t>o fragmentation between organiz</w:t>
      </w:r>
      <w:r w:rsidRPr="0094403F">
        <w:rPr>
          <w:rFonts w:ascii="Times New Roman" w:hAnsi="Times New Roman" w:cs="Times New Roman"/>
          <w:sz w:val="24"/>
          <w:szCs w:val="24"/>
        </w:rPr>
        <w:t xml:space="preserve">ations and agents. Policy in the field of assisted living in the UK (and in health in general) continues to be directed through a silo-based approach. </w:t>
      </w:r>
      <w:r w:rsidRPr="00693DDC">
        <w:rPr>
          <w:rFonts w:ascii="Times New Roman" w:hAnsi="Times New Roman" w:cs="Times New Roman"/>
          <w:sz w:val="24"/>
          <w:szCs w:val="24"/>
        </w:rPr>
        <w:t>This</w:t>
      </w:r>
      <w:r w:rsidR="00693DDC">
        <w:rPr>
          <w:rFonts w:ascii="Times New Roman" w:hAnsi="Times New Roman" w:cs="Times New Roman"/>
          <w:sz w:val="24"/>
          <w:szCs w:val="24"/>
        </w:rPr>
        <w:t xml:space="preserve"> is highlighted by the fact that this</w:t>
      </w:r>
      <w:r w:rsidRPr="00693DDC">
        <w:rPr>
          <w:rFonts w:ascii="Times New Roman" w:hAnsi="Times New Roman" w:cs="Times New Roman"/>
          <w:sz w:val="24"/>
          <w:szCs w:val="24"/>
        </w:rPr>
        <w:t xml:space="preserve"> programme was funded by Innovate UK, an agency affiliated to the Department for </w:t>
      </w:r>
      <w:r w:rsidR="000A3C2C">
        <w:rPr>
          <w:rFonts w:ascii="Times New Roman" w:hAnsi="Times New Roman" w:cs="Times New Roman"/>
          <w:sz w:val="24"/>
          <w:szCs w:val="24"/>
        </w:rPr>
        <w:t>BIS</w:t>
      </w:r>
      <w:r w:rsidRPr="00693DDC">
        <w:rPr>
          <w:rFonts w:ascii="Times New Roman" w:hAnsi="Times New Roman" w:cs="Times New Roman"/>
          <w:sz w:val="24"/>
          <w:szCs w:val="24"/>
        </w:rPr>
        <w:t>, rather than the Department of Health. This means that even if it is successful, it is not strictly health policy</w:t>
      </w:r>
      <w:r w:rsidR="00693DDC">
        <w:rPr>
          <w:rFonts w:ascii="Times New Roman" w:hAnsi="Times New Roman" w:cs="Times New Roman"/>
          <w:sz w:val="24"/>
          <w:szCs w:val="24"/>
        </w:rPr>
        <w:t xml:space="preserve"> but economic policy</w:t>
      </w:r>
      <w:r w:rsidRPr="00693DDC">
        <w:rPr>
          <w:rFonts w:ascii="Times New Roman" w:hAnsi="Times New Roman" w:cs="Times New Roman"/>
          <w:sz w:val="24"/>
          <w:szCs w:val="24"/>
        </w:rPr>
        <w:t>. This in turn clashes with the sweeping health reforms which the current government has been trying to implement, through its health secretary, and which have in themselves been heavily discussed and revised as a result of ongoing criticism from multiple stakeholders.</w:t>
      </w:r>
      <w:r w:rsidRPr="0094403F">
        <w:rPr>
          <w:rFonts w:ascii="Times New Roman" w:hAnsi="Times New Roman" w:cs="Times New Roman"/>
          <w:sz w:val="24"/>
          <w:szCs w:val="24"/>
        </w:rPr>
        <w:t xml:space="preserve"> </w:t>
      </w:r>
    </w:p>
    <w:p w14:paraId="6CD9EB62" w14:textId="543F0467" w:rsidR="00D14A04" w:rsidRPr="00DA712E" w:rsidRDefault="003267DA" w:rsidP="00D14A04">
      <w:pPr>
        <w:spacing w:after="240" w:line="480" w:lineRule="auto"/>
        <w:rPr>
          <w:rFonts w:ascii="Times New Roman" w:hAnsi="Times New Roman" w:cs="Times New Roman"/>
          <w:color w:val="000000" w:themeColor="text1"/>
          <w:sz w:val="24"/>
          <w:lang w:val="en-US"/>
        </w:rPr>
      </w:pPr>
      <w:r>
        <w:rPr>
          <w:rFonts w:ascii="Times New Roman" w:hAnsi="Times New Roman" w:cs="Times New Roman"/>
          <w:sz w:val="24"/>
          <w:szCs w:val="24"/>
        </w:rPr>
        <w:t>I</w:t>
      </w:r>
      <w:r w:rsidR="00390491">
        <w:rPr>
          <w:rFonts w:ascii="Times New Roman" w:hAnsi="Times New Roman" w:cs="Times New Roman"/>
          <w:sz w:val="24"/>
          <w:szCs w:val="24"/>
          <w:lang w:val="en-US"/>
        </w:rPr>
        <w:t>n Norway</w:t>
      </w:r>
      <w:r w:rsidR="00D14A04" w:rsidRPr="00DA712E">
        <w:rPr>
          <w:rFonts w:ascii="Times New Roman" w:hAnsi="Times New Roman" w:cs="Times New Roman"/>
          <w:sz w:val="24"/>
          <w:szCs w:val="24"/>
          <w:lang w:val="en-US"/>
        </w:rPr>
        <w:t xml:space="preserve">, </w:t>
      </w:r>
      <w:r w:rsidR="00E35069">
        <w:rPr>
          <w:rFonts w:ascii="Times New Roman" w:hAnsi="Times New Roman" w:cs="Times New Roman"/>
          <w:sz w:val="24"/>
          <w:szCs w:val="24"/>
          <w:lang w:val="en-US"/>
        </w:rPr>
        <w:t>SAMVEIS</w:t>
      </w:r>
      <w:r w:rsidR="00D14A04" w:rsidRPr="00DA712E">
        <w:rPr>
          <w:rFonts w:ascii="Times New Roman" w:hAnsi="Times New Roman" w:cs="Times New Roman"/>
          <w:sz w:val="24"/>
          <w:szCs w:val="24"/>
          <w:lang w:val="en-US"/>
        </w:rPr>
        <w:t xml:space="preserve"> constitute</w:t>
      </w:r>
      <w:r w:rsidR="00390491">
        <w:rPr>
          <w:rFonts w:ascii="Times New Roman" w:hAnsi="Times New Roman" w:cs="Times New Roman"/>
          <w:sz w:val="24"/>
          <w:szCs w:val="24"/>
          <w:lang w:val="en-US"/>
        </w:rPr>
        <w:t>d</w:t>
      </w:r>
      <w:r w:rsidR="00D14A04" w:rsidRPr="00DA712E">
        <w:rPr>
          <w:rFonts w:ascii="Times New Roman" w:hAnsi="Times New Roman" w:cs="Times New Roman"/>
          <w:sz w:val="24"/>
          <w:szCs w:val="24"/>
          <w:lang w:val="en-US"/>
        </w:rPr>
        <w:t xml:space="preserve"> an important coordinating mechanism across the fragmented municipal landscape</w:t>
      </w:r>
      <w:r w:rsidR="00693DDC">
        <w:rPr>
          <w:rFonts w:ascii="Times New Roman" w:hAnsi="Times New Roman" w:cs="Times New Roman"/>
          <w:sz w:val="24"/>
          <w:szCs w:val="24"/>
          <w:lang w:val="en-US"/>
        </w:rPr>
        <w:t>, though there were important shortcomings</w:t>
      </w:r>
      <w:r w:rsidR="00D14A04" w:rsidRPr="00DA712E">
        <w:rPr>
          <w:rFonts w:ascii="Times New Roman" w:hAnsi="Times New Roman" w:cs="Times New Roman"/>
          <w:sz w:val="24"/>
          <w:szCs w:val="24"/>
          <w:lang w:val="en-US"/>
        </w:rPr>
        <w:t>. According to the subcontractors, there has been a lack of knowledge among the municipalities about existing solutions within welfare technologies and the implications</w:t>
      </w:r>
      <w:r w:rsidR="00D14A04" w:rsidRPr="00DA712E">
        <w:rPr>
          <w:rFonts w:ascii="Times New Roman" w:hAnsi="Times New Roman" w:cs="Times New Roman"/>
          <w:color w:val="000000" w:themeColor="text1"/>
          <w:sz w:val="24"/>
          <w:szCs w:val="24"/>
          <w:lang w:val="en-US"/>
        </w:rPr>
        <w:t xml:space="preserve"> and use of these. Such a</w:t>
      </w:r>
      <w:r w:rsidR="00D14A04" w:rsidRPr="00DA712E">
        <w:rPr>
          <w:rFonts w:ascii="Times New Roman" w:hAnsi="Times New Roman" w:cs="Times New Roman"/>
          <w:sz w:val="24"/>
          <w:szCs w:val="24"/>
          <w:lang w:val="en-US"/>
        </w:rPr>
        <w:t xml:space="preserve"> view is also confirmed by respondents in the municipalities and illustrates that it is costly and </w:t>
      </w:r>
      <w:r w:rsidR="00D14A04" w:rsidRPr="00DA712E">
        <w:rPr>
          <w:rFonts w:ascii="Times New Roman" w:hAnsi="Times New Roman" w:cs="Times New Roman"/>
          <w:sz w:val="24"/>
          <w:szCs w:val="24"/>
          <w:lang w:val="en-US"/>
        </w:rPr>
        <w:lastRenderedPageBreak/>
        <w:t>demanding to be up to date with the (national and international) developments in this field, and which highlights the need for pro-active governance</w:t>
      </w:r>
      <w:r w:rsidR="000C5C51">
        <w:rPr>
          <w:rFonts w:ascii="Times New Roman" w:hAnsi="Times New Roman" w:cs="Times New Roman"/>
          <w:sz w:val="24"/>
          <w:szCs w:val="24"/>
          <w:lang w:val="en-US"/>
        </w:rPr>
        <w:t xml:space="preserve"> </w:t>
      </w:r>
      <w:r w:rsidR="00D14A04" w:rsidRPr="00DA712E">
        <w:rPr>
          <w:rFonts w:ascii="Times New Roman" w:hAnsi="Times New Roman" w:cs="Times New Roman"/>
          <w:sz w:val="24"/>
          <w:szCs w:val="24"/>
          <w:lang w:val="en-US"/>
        </w:rPr>
        <w:t xml:space="preserve">and policy coordination. </w:t>
      </w:r>
      <w:r w:rsidR="00693DDC">
        <w:rPr>
          <w:rFonts w:ascii="Times New Roman" w:hAnsi="Times New Roman" w:cs="Times New Roman"/>
          <w:sz w:val="24"/>
          <w:szCs w:val="24"/>
          <w:lang w:val="en-US"/>
        </w:rPr>
        <w:t>Overall,</w:t>
      </w:r>
      <w:r w:rsidR="001D1683" w:rsidRPr="000756A5">
        <w:rPr>
          <w:rFonts w:ascii="Times New Roman" w:hAnsi="Times New Roman" w:cs="Times New Roman"/>
          <w:color w:val="000000" w:themeColor="text1"/>
          <w:sz w:val="24"/>
          <w:lang w:val="en-US"/>
        </w:rPr>
        <w:t xml:space="preserve"> </w:t>
      </w:r>
      <w:r w:rsidR="00D14A04" w:rsidRPr="00DA712E">
        <w:rPr>
          <w:rFonts w:ascii="Times New Roman" w:hAnsi="Times New Roman" w:cs="Times New Roman"/>
          <w:color w:val="000000" w:themeColor="text1"/>
          <w:sz w:val="24"/>
          <w:lang w:val="en-US"/>
        </w:rPr>
        <w:t>the data collection and analysis revealed that there are still unresolved coordination issues, particularly across the following areas of activity:</w:t>
      </w:r>
    </w:p>
    <w:p w14:paraId="7F27F95F" w14:textId="77777777" w:rsidR="00D14A04" w:rsidRPr="00DA712E" w:rsidRDefault="00D14A04" w:rsidP="00D14A04">
      <w:pPr>
        <w:pStyle w:val="ListParagraph"/>
        <w:numPr>
          <w:ilvl w:val="0"/>
          <w:numId w:val="10"/>
        </w:numPr>
        <w:spacing w:after="240" w:line="480" w:lineRule="auto"/>
        <w:rPr>
          <w:rFonts w:ascii="Times New Roman" w:hAnsi="Times New Roman" w:cs="Times New Roman"/>
          <w:sz w:val="24"/>
          <w:szCs w:val="24"/>
          <w:lang w:val="en-US"/>
        </w:rPr>
      </w:pPr>
      <w:r w:rsidRPr="00DA712E">
        <w:rPr>
          <w:rFonts w:ascii="Times New Roman" w:hAnsi="Times New Roman" w:cs="Times New Roman"/>
          <w:sz w:val="24"/>
          <w:szCs w:val="24"/>
          <w:lang w:val="en-US"/>
        </w:rPr>
        <w:t>Across science driven and practice oriented knowledge development;</w:t>
      </w:r>
    </w:p>
    <w:p w14:paraId="0F93616F" w14:textId="77777777" w:rsidR="00D14A04" w:rsidRPr="00DA712E" w:rsidRDefault="00D14A04" w:rsidP="00D14A04">
      <w:pPr>
        <w:pStyle w:val="ListParagraph"/>
        <w:numPr>
          <w:ilvl w:val="0"/>
          <w:numId w:val="10"/>
        </w:numPr>
        <w:spacing w:after="240" w:line="480" w:lineRule="auto"/>
        <w:rPr>
          <w:rFonts w:ascii="Times New Roman" w:hAnsi="Times New Roman" w:cs="Times New Roman"/>
          <w:sz w:val="24"/>
          <w:szCs w:val="24"/>
          <w:lang w:val="en-US"/>
        </w:rPr>
      </w:pPr>
      <w:r w:rsidRPr="00DA712E">
        <w:rPr>
          <w:rFonts w:ascii="Times New Roman" w:hAnsi="Times New Roman" w:cs="Times New Roman"/>
          <w:sz w:val="24"/>
          <w:szCs w:val="24"/>
          <w:lang w:val="en-US"/>
        </w:rPr>
        <w:t>Across the research activities following the ten pilot projects;</w:t>
      </w:r>
    </w:p>
    <w:p w14:paraId="4704D8EB" w14:textId="2732DA07" w:rsidR="00D14A04" w:rsidRPr="00DA712E" w:rsidRDefault="00D14A04" w:rsidP="00DA712E">
      <w:pPr>
        <w:pStyle w:val="ListParagraph"/>
        <w:numPr>
          <w:ilvl w:val="0"/>
          <w:numId w:val="10"/>
        </w:numPr>
        <w:spacing w:after="240" w:line="480" w:lineRule="auto"/>
        <w:rPr>
          <w:rFonts w:ascii="Times New Roman" w:hAnsi="Times New Roman" w:cs="Times New Roman"/>
          <w:sz w:val="24"/>
          <w:szCs w:val="24"/>
          <w:lang w:val="en-US"/>
        </w:rPr>
      </w:pPr>
      <w:r w:rsidRPr="00DA712E">
        <w:rPr>
          <w:rFonts w:ascii="Times New Roman" w:hAnsi="Times New Roman" w:cs="Times New Roman"/>
          <w:sz w:val="24"/>
          <w:szCs w:val="24"/>
          <w:lang w:val="en-US"/>
        </w:rPr>
        <w:t>Across relevant public sector stakeholders at various governance levels;</w:t>
      </w:r>
    </w:p>
    <w:p w14:paraId="65D0341C" w14:textId="1916BCD8" w:rsidR="00D5457C" w:rsidRPr="0094403F" w:rsidRDefault="00F74367" w:rsidP="00D5457C">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 example of the </w:t>
      </w:r>
      <w:r w:rsidR="00955AD5" w:rsidRPr="00DA712E">
        <w:rPr>
          <w:rFonts w:ascii="Times New Roman" w:hAnsi="Times New Roman" w:cs="Times New Roman"/>
          <w:sz w:val="24"/>
          <w:szCs w:val="24"/>
          <w:lang w:val="en-US"/>
        </w:rPr>
        <w:t>latter point</w:t>
      </w:r>
      <w:r w:rsidR="00D5457C" w:rsidRPr="0094403F">
        <w:rPr>
          <w:rFonts w:ascii="Times New Roman" w:hAnsi="Times New Roman" w:cs="Times New Roman"/>
          <w:sz w:val="24"/>
          <w:szCs w:val="24"/>
          <w:lang w:val="en-US"/>
        </w:rPr>
        <w:t xml:space="preserve"> is th</w:t>
      </w:r>
      <w:r w:rsidR="002D3D4C">
        <w:rPr>
          <w:rFonts w:ascii="Times New Roman" w:hAnsi="Times New Roman" w:cs="Times New Roman"/>
          <w:sz w:val="24"/>
          <w:szCs w:val="24"/>
          <w:lang w:val="en-US"/>
        </w:rPr>
        <w:t xml:space="preserve">e fact that NAV, the </w:t>
      </w:r>
      <w:r w:rsidR="000A3C2C">
        <w:rPr>
          <w:rFonts w:ascii="Times New Roman" w:hAnsi="Times New Roman" w:cs="Times New Roman"/>
          <w:sz w:val="24"/>
          <w:szCs w:val="24"/>
          <w:lang w:val="en-US"/>
        </w:rPr>
        <w:t>Norwegian n</w:t>
      </w:r>
      <w:r w:rsidR="00D5457C" w:rsidRPr="0094403F">
        <w:rPr>
          <w:rFonts w:ascii="Times New Roman" w:hAnsi="Times New Roman" w:cs="Times New Roman"/>
          <w:sz w:val="24"/>
          <w:szCs w:val="24"/>
          <w:lang w:val="en-US"/>
        </w:rPr>
        <w:t>ational</w:t>
      </w:r>
      <w:r w:rsidR="000A3C2C">
        <w:rPr>
          <w:rFonts w:ascii="Times New Roman" w:hAnsi="Times New Roman" w:cs="Times New Roman"/>
          <w:sz w:val="24"/>
          <w:szCs w:val="24"/>
          <w:lang w:val="en-US"/>
        </w:rPr>
        <w:t xml:space="preserve"> health s</w:t>
      </w:r>
      <w:r w:rsidR="00D5457C" w:rsidRPr="0094403F">
        <w:rPr>
          <w:rFonts w:ascii="Times New Roman" w:hAnsi="Times New Roman" w:cs="Times New Roman"/>
          <w:sz w:val="24"/>
          <w:szCs w:val="24"/>
          <w:lang w:val="en-US"/>
        </w:rPr>
        <w:t xml:space="preserve">ervice, was not included in </w:t>
      </w:r>
      <w:r w:rsidR="00E35069">
        <w:rPr>
          <w:rFonts w:ascii="Times New Roman" w:hAnsi="Times New Roman" w:cs="Times New Roman"/>
          <w:sz w:val="24"/>
          <w:szCs w:val="24"/>
          <w:lang w:val="en-US"/>
        </w:rPr>
        <w:t>SAMVEIS</w:t>
      </w:r>
      <w:r w:rsidR="00D5457C" w:rsidRPr="0094403F">
        <w:rPr>
          <w:rFonts w:ascii="Times New Roman" w:hAnsi="Times New Roman" w:cs="Times New Roman"/>
          <w:sz w:val="24"/>
          <w:szCs w:val="24"/>
          <w:lang w:val="en-US"/>
        </w:rPr>
        <w:t xml:space="preserve">, even though it is </w:t>
      </w:r>
      <w:r w:rsidRPr="0094403F">
        <w:rPr>
          <w:rFonts w:ascii="Times New Roman" w:hAnsi="Times New Roman" w:cs="Times New Roman"/>
          <w:sz w:val="24"/>
          <w:szCs w:val="24"/>
          <w:lang w:val="en-US"/>
        </w:rPr>
        <w:t xml:space="preserve">the national body responsible for the technical aid apparatus </w:t>
      </w:r>
      <w:r>
        <w:rPr>
          <w:rFonts w:ascii="Times New Roman" w:hAnsi="Times New Roman" w:cs="Times New Roman"/>
          <w:sz w:val="24"/>
          <w:szCs w:val="24"/>
          <w:lang w:val="en-US"/>
        </w:rPr>
        <w:t xml:space="preserve">and for </w:t>
      </w:r>
      <w:r w:rsidRPr="0094403F">
        <w:rPr>
          <w:rFonts w:ascii="Times New Roman" w:hAnsi="Times New Roman" w:cs="Times New Roman"/>
          <w:sz w:val="24"/>
          <w:szCs w:val="24"/>
          <w:lang w:val="en-US"/>
        </w:rPr>
        <w:t>providing home-based care services</w:t>
      </w:r>
      <w:r w:rsidR="00D5457C" w:rsidRPr="0094403F">
        <w:rPr>
          <w:rFonts w:ascii="Times New Roman" w:hAnsi="Times New Roman" w:cs="Times New Roman"/>
          <w:sz w:val="24"/>
          <w:szCs w:val="24"/>
          <w:lang w:val="en-US"/>
        </w:rPr>
        <w:t>. This may re</w:t>
      </w:r>
      <w:r>
        <w:rPr>
          <w:rFonts w:ascii="Times New Roman" w:hAnsi="Times New Roman" w:cs="Times New Roman"/>
          <w:sz w:val="24"/>
          <w:szCs w:val="24"/>
          <w:lang w:val="en-US"/>
        </w:rPr>
        <w:t>present a challenge during the</w:t>
      </w:r>
      <w:r w:rsidR="00D5457C" w:rsidRPr="0094403F">
        <w:rPr>
          <w:rFonts w:ascii="Times New Roman" w:hAnsi="Times New Roman" w:cs="Times New Roman"/>
          <w:sz w:val="24"/>
          <w:szCs w:val="24"/>
          <w:lang w:val="en-US"/>
        </w:rPr>
        <w:t xml:space="preserve"> last stages</w:t>
      </w:r>
      <w:r>
        <w:rPr>
          <w:rFonts w:ascii="Times New Roman" w:hAnsi="Times New Roman" w:cs="Times New Roman"/>
          <w:sz w:val="24"/>
          <w:szCs w:val="24"/>
          <w:lang w:val="en-US"/>
        </w:rPr>
        <w:t xml:space="preserve"> of upscaling and consolidation of the policy programme</w:t>
      </w:r>
      <w:r w:rsidR="00D5457C" w:rsidRPr="0094403F">
        <w:rPr>
          <w:rFonts w:ascii="Times New Roman" w:hAnsi="Times New Roman" w:cs="Times New Roman"/>
          <w:sz w:val="24"/>
          <w:szCs w:val="24"/>
          <w:lang w:val="en-US"/>
        </w:rPr>
        <w:t xml:space="preserve">.  </w:t>
      </w:r>
    </w:p>
    <w:p w14:paraId="7F6C134C" w14:textId="7814D19E" w:rsidR="00D5457C" w:rsidRPr="0094403F" w:rsidRDefault="00D5457C" w:rsidP="00D5457C">
      <w:pPr>
        <w:spacing w:after="240" w:line="480" w:lineRule="auto"/>
        <w:rPr>
          <w:rFonts w:ascii="Times New Roman" w:hAnsi="Times New Roman" w:cs="Times New Roman"/>
          <w:sz w:val="24"/>
          <w:szCs w:val="24"/>
          <w:lang w:val="en-US"/>
        </w:rPr>
      </w:pPr>
      <w:r w:rsidRPr="0094403F">
        <w:rPr>
          <w:rFonts w:ascii="Times New Roman" w:hAnsi="Times New Roman" w:cs="Times New Roman"/>
          <w:sz w:val="24"/>
          <w:szCs w:val="24"/>
          <w:lang w:val="en-US"/>
        </w:rPr>
        <w:t xml:space="preserve">The strengths and shortcomings of </w:t>
      </w:r>
      <w:r w:rsidR="00E35069">
        <w:rPr>
          <w:rFonts w:ascii="Times New Roman" w:hAnsi="Times New Roman" w:cs="Times New Roman"/>
          <w:sz w:val="24"/>
          <w:szCs w:val="24"/>
          <w:lang w:val="en-US"/>
        </w:rPr>
        <w:t>SAMVEIS</w:t>
      </w:r>
      <w:r w:rsidRPr="0094403F">
        <w:rPr>
          <w:rFonts w:ascii="Times New Roman" w:hAnsi="Times New Roman" w:cs="Times New Roman"/>
          <w:sz w:val="24"/>
          <w:szCs w:val="24"/>
          <w:lang w:val="en-US"/>
        </w:rPr>
        <w:t xml:space="preserve"> are to a significant extent a product of how the Norwegian state embeds itself within society, and which in turn shapes how it deals with transformational system failures. The dual tradition of centralized welfare state provision and strong, autonomous local government, creates opportunities for the central state to push for the development of applied solutions in a context of technological uncertainty, while relying on decentralized power structures. This </w:t>
      </w:r>
      <w:r w:rsidR="00163C03">
        <w:rPr>
          <w:rFonts w:ascii="Times New Roman" w:hAnsi="Times New Roman" w:cs="Times New Roman"/>
          <w:sz w:val="24"/>
          <w:szCs w:val="24"/>
          <w:lang w:val="en-US"/>
        </w:rPr>
        <w:t>implies balancing between an embedded and a dirigiste governance mode in terms of a top-down governance allowing</w:t>
      </w:r>
      <w:r w:rsidRPr="0094403F">
        <w:rPr>
          <w:rFonts w:ascii="Times New Roman" w:hAnsi="Times New Roman" w:cs="Times New Roman"/>
          <w:sz w:val="24"/>
          <w:szCs w:val="24"/>
          <w:lang w:val="en-US"/>
        </w:rPr>
        <w:t xml:space="preserve"> </w:t>
      </w:r>
      <w:r w:rsidR="00163C03">
        <w:rPr>
          <w:rFonts w:ascii="Times New Roman" w:hAnsi="Times New Roman" w:cs="Times New Roman"/>
          <w:sz w:val="24"/>
          <w:szCs w:val="24"/>
          <w:lang w:val="en-US"/>
        </w:rPr>
        <w:t xml:space="preserve">for </w:t>
      </w:r>
      <w:r w:rsidRPr="0094403F">
        <w:rPr>
          <w:rFonts w:ascii="Times New Roman" w:hAnsi="Times New Roman" w:cs="Times New Roman"/>
          <w:sz w:val="24"/>
          <w:szCs w:val="24"/>
          <w:lang w:val="en-US"/>
        </w:rPr>
        <w:t>local experimentation, involving municipalities</w:t>
      </w:r>
      <w:r w:rsidR="00163C03">
        <w:rPr>
          <w:rFonts w:ascii="Times New Roman" w:hAnsi="Times New Roman" w:cs="Times New Roman"/>
          <w:sz w:val="24"/>
          <w:szCs w:val="24"/>
          <w:lang w:val="en-US"/>
        </w:rPr>
        <w:t>,</w:t>
      </w:r>
      <w:r w:rsidRPr="0094403F">
        <w:rPr>
          <w:rFonts w:ascii="Times New Roman" w:hAnsi="Times New Roman" w:cs="Times New Roman"/>
          <w:sz w:val="24"/>
          <w:szCs w:val="24"/>
          <w:lang w:val="en-US"/>
        </w:rPr>
        <w:t xml:space="preserve"> partners in the private sector, health experts and end-users. </w:t>
      </w:r>
    </w:p>
    <w:p w14:paraId="0C407437" w14:textId="118D509C" w:rsidR="00122334" w:rsidRPr="0094403F" w:rsidRDefault="00D5457C" w:rsidP="00DA712E">
      <w:pPr>
        <w:spacing w:after="240" w:line="480" w:lineRule="auto"/>
        <w:rPr>
          <w:rFonts w:ascii="Times New Roman" w:hAnsi="Times New Roman" w:cs="Times New Roman"/>
          <w:sz w:val="24"/>
          <w:szCs w:val="24"/>
          <w:lang w:val="en-US"/>
        </w:rPr>
      </w:pPr>
      <w:r w:rsidRPr="0094403F">
        <w:rPr>
          <w:rFonts w:ascii="Times New Roman" w:hAnsi="Times New Roman" w:cs="Times New Roman"/>
          <w:sz w:val="24"/>
          <w:szCs w:val="24"/>
          <w:lang w:val="en-US"/>
        </w:rPr>
        <w:t xml:space="preserve">The downside is that a strong centralized state often finds it difficult to coordinate with different levels of government and to learn from bottom up-experience. In this case, policy coordination has primarily been oriented upstream in terms of initiating the ten pilot projects, but less has been done in terms of learning from the experiences generated across the pilot </w:t>
      </w:r>
      <w:r w:rsidRPr="0094403F">
        <w:rPr>
          <w:rFonts w:ascii="Times New Roman" w:hAnsi="Times New Roman" w:cs="Times New Roman"/>
          <w:sz w:val="24"/>
          <w:szCs w:val="24"/>
          <w:lang w:val="en-US"/>
        </w:rPr>
        <w:lastRenderedPageBreak/>
        <w:t>projects. Also, due to dissatisfaction with the number of test users in the municipal pilot projects, the Norwegian Directorate of Health has been searching for different solutions, independently from the results and experiences generated in the pilot projects. Therefore, the coordination and upscaling of the experiences from the pilot pro</w:t>
      </w:r>
      <w:r w:rsidR="000A3C2C">
        <w:rPr>
          <w:rFonts w:ascii="Times New Roman" w:hAnsi="Times New Roman" w:cs="Times New Roman"/>
          <w:sz w:val="24"/>
          <w:szCs w:val="24"/>
          <w:lang w:val="en-US"/>
        </w:rPr>
        <w:t>jects beyond the niche level have</w:t>
      </w:r>
      <w:r w:rsidRPr="0094403F">
        <w:rPr>
          <w:rFonts w:ascii="Times New Roman" w:hAnsi="Times New Roman" w:cs="Times New Roman"/>
          <w:sz w:val="24"/>
          <w:szCs w:val="24"/>
          <w:lang w:val="en-US"/>
        </w:rPr>
        <w:t xml:space="preserve"> during the initial phases been scarce, though it will be necessary to wait for stages three and four to reach final conclusions. </w:t>
      </w:r>
    </w:p>
    <w:p w14:paraId="1FB70D71" w14:textId="77777777" w:rsidR="00122334" w:rsidRPr="0094403F" w:rsidRDefault="00122334" w:rsidP="00DA712E">
      <w:pPr>
        <w:pStyle w:val="Heading3"/>
        <w:rPr>
          <w:lang w:val="en-US"/>
        </w:rPr>
      </w:pPr>
      <w:r w:rsidRPr="0094403F">
        <w:rPr>
          <w:lang w:val="en-US"/>
        </w:rPr>
        <w:t>Reflexivity</w:t>
      </w:r>
    </w:p>
    <w:p w14:paraId="2392F23E" w14:textId="3F72F9F5" w:rsidR="00DA3287" w:rsidRDefault="00DA3287" w:rsidP="00122334">
      <w:pPr>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390491" w:rsidRPr="00390491">
        <w:rPr>
          <w:rFonts w:ascii="Times New Roman" w:hAnsi="Times New Roman" w:cs="Times New Roman"/>
          <w:sz w:val="24"/>
          <w:szCs w:val="24"/>
          <w:lang w:val="en-US"/>
        </w:rPr>
        <w:t xml:space="preserve"> policy coordination shortcomings </w:t>
      </w:r>
      <w:r>
        <w:rPr>
          <w:rFonts w:ascii="Times New Roman" w:hAnsi="Times New Roman" w:cs="Times New Roman"/>
          <w:sz w:val="24"/>
          <w:szCs w:val="24"/>
          <w:lang w:val="en-US"/>
        </w:rPr>
        <w:t xml:space="preserve">identified in the UK context </w:t>
      </w:r>
      <w:r w:rsidR="00390491" w:rsidRPr="00390491">
        <w:rPr>
          <w:rFonts w:ascii="Times New Roman" w:hAnsi="Times New Roman" w:cs="Times New Roman"/>
          <w:sz w:val="24"/>
          <w:szCs w:val="24"/>
          <w:lang w:val="en-US"/>
        </w:rPr>
        <w:t>compound problems of reflexivity failure. Though Innovate UK is attempting to maintain a learning community in this area, by supporting DHACA (2016), its activities continue to depend on bottom-up initiatives, and have not led, up to this point, to reflection and debates at the national level.</w:t>
      </w:r>
      <w:r>
        <w:rPr>
          <w:rFonts w:ascii="Times New Roman" w:hAnsi="Times New Roman" w:cs="Times New Roman"/>
          <w:sz w:val="24"/>
          <w:szCs w:val="24"/>
          <w:lang w:val="en-US"/>
        </w:rPr>
        <w:t xml:space="preserve"> The fact that these are project based activities, funded for a specific period of time, also hinders future learning, since no organization is responsible for taking its lessons forward and implementing them widely. In the case of Norway </w:t>
      </w:r>
      <w:r w:rsidR="00122334" w:rsidRPr="0094403F">
        <w:rPr>
          <w:rFonts w:ascii="Times New Roman" w:hAnsi="Times New Roman" w:cs="Times New Roman"/>
          <w:sz w:val="24"/>
          <w:szCs w:val="24"/>
          <w:lang w:val="en-US"/>
        </w:rPr>
        <w:t xml:space="preserve">the Norwegian Directorate of Health </w:t>
      </w:r>
      <w:r>
        <w:rPr>
          <w:rFonts w:ascii="Times New Roman" w:hAnsi="Times New Roman" w:cs="Times New Roman"/>
          <w:sz w:val="24"/>
          <w:szCs w:val="24"/>
          <w:lang w:val="en-US"/>
        </w:rPr>
        <w:t>attempted to deal with this issue through</w:t>
      </w:r>
      <w:r w:rsidR="00122334" w:rsidRPr="0094403F">
        <w:rPr>
          <w:rFonts w:ascii="Times New Roman" w:hAnsi="Times New Roman" w:cs="Times New Roman"/>
          <w:sz w:val="24"/>
          <w:szCs w:val="24"/>
          <w:lang w:val="en-US"/>
        </w:rPr>
        <w:t xml:space="preserve"> information meetings and seminars for learning and knowledge exchange between municipalities, subcontractors and other relevant stakeholders. </w:t>
      </w:r>
      <w:r>
        <w:rPr>
          <w:rFonts w:ascii="Times New Roman" w:hAnsi="Times New Roman" w:cs="Times New Roman"/>
          <w:sz w:val="24"/>
          <w:szCs w:val="24"/>
          <w:lang w:val="en-US"/>
        </w:rPr>
        <w:t>H</w:t>
      </w:r>
      <w:r w:rsidR="00122334" w:rsidRPr="0094403F">
        <w:rPr>
          <w:rFonts w:ascii="Times New Roman" w:hAnsi="Times New Roman" w:cs="Times New Roman"/>
          <w:sz w:val="24"/>
          <w:szCs w:val="24"/>
          <w:lang w:val="en-US"/>
        </w:rPr>
        <w:t xml:space="preserve">owever the </w:t>
      </w:r>
      <w:r>
        <w:rPr>
          <w:rFonts w:ascii="Times New Roman" w:hAnsi="Times New Roman" w:cs="Times New Roman"/>
          <w:sz w:val="24"/>
          <w:szCs w:val="24"/>
          <w:lang w:val="en-US"/>
        </w:rPr>
        <w:t xml:space="preserve">learning process has fallen short of expectations. </w:t>
      </w:r>
      <w:r w:rsidR="00122334" w:rsidRPr="0094403F">
        <w:rPr>
          <w:rFonts w:ascii="Times New Roman" w:hAnsi="Times New Roman" w:cs="Times New Roman"/>
          <w:sz w:val="24"/>
          <w:szCs w:val="24"/>
          <w:lang w:val="en-US"/>
        </w:rPr>
        <w:t xml:space="preserve">As an example, the first meeting of the research network responsible for evaluating results only took place two years after the launch of the national programme. This signals a somewhat limited effort and ambition in terms of ensuring continuous learning, reflexivity and diffusion across the involved stakeholders in the programme. </w:t>
      </w:r>
    </w:p>
    <w:p w14:paraId="4C8B6903" w14:textId="4CD630D5" w:rsidR="00122334" w:rsidRDefault="00122334" w:rsidP="00122334">
      <w:pPr>
        <w:spacing w:after="240" w:line="480" w:lineRule="auto"/>
        <w:rPr>
          <w:rFonts w:ascii="Times New Roman" w:hAnsi="Times New Roman" w:cs="Times New Roman"/>
          <w:sz w:val="24"/>
          <w:szCs w:val="24"/>
          <w:lang w:val="en-US"/>
        </w:rPr>
      </w:pPr>
      <w:r w:rsidRPr="0094403F">
        <w:rPr>
          <w:rFonts w:ascii="Times New Roman" w:hAnsi="Times New Roman" w:cs="Times New Roman"/>
          <w:sz w:val="24"/>
          <w:szCs w:val="24"/>
          <w:lang w:val="en-US"/>
        </w:rPr>
        <w:t xml:space="preserve">Also, there were complaints among the researchers who followed the pilot studies that there was no process of calibration of expectations among subcontractors, municipalities (and users) in the early phases of the pilot projects. According to these informants, such a </w:t>
      </w:r>
      <w:r w:rsidRPr="0094403F">
        <w:rPr>
          <w:rFonts w:ascii="Times New Roman" w:hAnsi="Times New Roman" w:cs="Times New Roman"/>
          <w:sz w:val="24"/>
          <w:szCs w:val="24"/>
          <w:lang w:val="en-US"/>
        </w:rPr>
        <w:lastRenderedPageBreak/>
        <w:t>calibration process could have established trust between the involved stakeholders, in addition to clarifying roles, objectives and avoided false expectations and misunderstandings. Moreover, the efforts of joint testing and knowledge generation in the pilot projects have so far been primarily practice-oriented</w:t>
      </w:r>
      <w:r w:rsidR="00373A62">
        <w:rPr>
          <w:rFonts w:ascii="Times New Roman" w:hAnsi="Times New Roman" w:cs="Times New Roman"/>
          <w:sz w:val="24"/>
          <w:szCs w:val="24"/>
          <w:lang w:val="en-US"/>
        </w:rPr>
        <w:t xml:space="preserve"> and </w:t>
      </w:r>
      <w:r w:rsidR="00373A62" w:rsidRPr="0094403F">
        <w:rPr>
          <w:rFonts w:ascii="Times New Roman" w:hAnsi="Times New Roman" w:cs="Times New Roman"/>
          <w:sz w:val="24"/>
          <w:szCs w:val="24"/>
          <w:lang w:val="en-US"/>
        </w:rPr>
        <w:t>largely directed towards the municipalities</w:t>
      </w:r>
      <w:r w:rsidRPr="0094403F">
        <w:rPr>
          <w:rFonts w:ascii="Times New Roman" w:hAnsi="Times New Roman" w:cs="Times New Roman"/>
          <w:sz w:val="24"/>
          <w:szCs w:val="24"/>
          <w:lang w:val="en-US"/>
        </w:rPr>
        <w:t xml:space="preserve">, and weakly connected to the remaining </w:t>
      </w:r>
      <w:r w:rsidR="00373A62">
        <w:rPr>
          <w:rFonts w:ascii="Times New Roman" w:hAnsi="Times New Roman" w:cs="Times New Roman"/>
          <w:sz w:val="24"/>
          <w:szCs w:val="24"/>
          <w:lang w:val="en-US"/>
        </w:rPr>
        <w:t xml:space="preserve">national </w:t>
      </w:r>
      <w:r w:rsidRPr="0094403F">
        <w:rPr>
          <w:rFonts w:ascii="Times New Roman" w:hAnsi="Times New Roman" w:cs="Times New Roman"/>
          <w:sz w:val="24"/>
          <w:szCs w:val="24"/>
          <w:lang w:val="en-US"/>
        </w:rPr>
        <w:t xml:space="preserve">science-based, knowledge development infrastructure in the Norwegian Research Council </w:t>
      </w:r>
      <w:r w:rsidRPr="0006608F">
        <w:rPr>
          <w:rFonts w:ascii="Times New Roman" w:hAnsi="Times New Roman" w:cs="Times New Roman"/>
          <w:sz w:val="24"/>
          <w:szCs w:val="24"/>
          <w:lang w:val="en-US"/>
        </w:rPr>
        <w:fldChar w:fldCharType="begin"/>
      </w:r>
      <w:r w:rsidRPr="0094403F">
        <w:rPr>
          <w:rFonts w:ascii="Times New Roman" w:hAnsi="Times New Roman" w:cs="Times New Roman"/>
          <w:sz w:val="24"/>
          <w:szCs w:val="24"/>
          <w:lang w:val="en-US"/>
        </w:rPr>
        <w:instrText xml:space="preserve"> ADDIN EN.CITE &lt;EndNote&gt;&lt;Cite&gt;&lt;Author&gt;HelseOmsorg21&lt;/Author&gt;&lt;Year&gt;2014&lt;/Year&gt;&lt;RecNum&gt;2082&lt;/RecNum&gt;&lt;DisplayText&gt;(HelseOmsorg21 2014)&lt;/DisplayText&gt;&lt;record&gt;&lt;rec-number&gt;2082&lt;/rec-number&gt;&lt;foreign-keys&gt;&lt;key app="EN" db-id="0zaxpt5exdvxdhe20sqpstwvwdtsex0avvzr" timestamp="1431953663"&gt;2082&lt;/key&gt;&lt;/foreign-keys&gt;&lt;ref-type name="Report"&gt;27&lt;/ref-type&gt;&lt;contributors&gt;&lt;authors&gt;&lt;author&gt;HelseOmsorg21&lt;/author&gt;&lt;/authors&gt;&lt;/contributors&gt;&lt;titles&gt;&lt;title&gt;Et kunnskapssystem for bedre folkehelse. Nasjonal forsknings- og innovasjonsstrategi for helse og omsorg&lt;/title&gt;&lt;/titles&gt;&lt;dates&gt;&lt;year&gt;2014&lt;/year&gt;&lt;/dates&gt;&lt;publisher&gt;Research Council of Norway&lt;/publisher&gt;&lt;urls&gt;&lt;/urls&gt;&lt;/record&gt;&lt;/Cite&gt;&lt;/EndNote&gt;</w:instrText>
      </w:r>
      <w:r w:rsidRPr="0006608F">
        <w:rPr>
          <w:rFonts w:ascii="Times New Roman" w:hAnsi="Times New Roman" w:cs="Times New Roman"/>
          <w:sz w:val="24"/>
          <w:szCs w:val="24"/>
          <w:lang w:val="en-US"/>
        </w:rPr>
        <w:fldChar w:fldCharType="separate"/>
      </w:r>
      <w:r w:rsidRPr="0094403F">
        <w:rPr>
          <w:rFonts w:ascii="Times New Roman" w:hAnsi="Times New Roman" w:cs="Times New Roman"/>
          <w:noProof/>
          <w:sz w:val="24"/>
          <w:szCs w:val="24"/>
          <w:lang w:val="en-US"/>
        </w:rPr>
        <w:t>(HelseOmsorg21 2014)</w:t>
      </w:r>
      <w:r w:rsidRPr="0006608F">
        <w:rPr>
          <w:rFonts w:ascii="Times New Roman" w:hAnsi="Times New Roman" w:cs="Times New Roman"/>
          <w:sz w:val="24"/>
          <w:szCs w:val="24"/>
          <w:lang w:val="en-US"/>
        </w:rPr>
        <w:fldChar w:fldCharType="end"/>
      </w:r>
      <w:r w:rsidRPr="0094403F">
        <w:rPr>
          <w:rFonts w:ascii="Times New Roman" w:hAnsi="Times New Roman" w:cs="Times New Roman"/>
          <w:sz w:val="24"/>
          <w:szCs w:val="24"/>
          <w:lang w:val="en-US"/>
        </w:rPr>
        <w:t>. In sum, these factors suggest a lack of coordination and reflexivity.</w:t>
      </w:r>
      <w:r w:rsidRPr="002D39BE">
        <w:rPr>
          <w:rFonts w:ascii="Times New Roman" w:hAnsi="Times New Roman" w:cs="Times New Roman"/>
          <w:sz w:val="24"/>
          <w:szCs w:val="24"/>
          <w:lang w:val="en-US"/>
        </w:rPr>
        <w:t xml:space="preserve"> </w:t>
      </w:r>
    </w:p>
    <w:p w14:paraId="5828EA76" w14:textId="4760CC40" w:rsidR="00C14259" w:rsidRPr="00AA6522" w:rsidRDefault="00591DD0" w:rsidP="00DA712E">
      <w:pPr>
        <w:pStyle w:val="Heading2"/>
        <w:rPr>
          <w:lang w:val="en-US"/>
        </w:rPr>
      </w:pPr>
      <w:r>
        <w:rPr>
          <w:lang w:val="en-US"/>
        </w:rPr>
        <w:t xml:space="preserve">6 </w:t>
      </w:r>
      <w:r w:rsidR="00406534" w:rsidRPr="006850FE">
        <w:rPr>
          <w:lang w:val="en-US"/>
        </w:rPr>
        <w:t>Summing up of findings</w:t>
      </w:r>
    </w:p>
    <w:p w14:paraId="34B79EA3" w14:textId="53FFC6FF" w:rsidR="00C14259" w:rsidRDefault="00C14259" w:rsidP="00C14259">
      <w:pPr>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Before we outline our theoretical conclusions, we would like to </w:t>
      </w:r>
      <w:r w:rsidR="00DA3287">
        <w:rPr>
          <w:rFonts w:ascii="Times New Roman" w:hAnsi="Times New Roman" w:cs="Times New Roman"/>
          <w:sz w:val="24"/>
          <w:szCs w:val="24"/>
          <w:lang w:val="en-US"/>
        </w:rPr>
        <w:t>highlight</w:t>
      </w:r>
      <w:r>
        <w:rPr>
          <w:rFonts w:ascii="Times New Roman" w:hAnsi="Times New Roman" w:cs="Times New Roman"/>
          <w:sz w:val="24"/>
          <w:szCs w:val="24"/>
          <w:lang w:val="en-US"/>
        </w:rPr>
        <w:t xml:space="preserve"> the main similarities and differences between </w:t>
      </w:r>
      <w:r w:rsidR="00D212B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case studies. In both the Norwegian and UK case, state supported and funded niche experimentation has been instrumental in designing and implementing system innovation, either through a top-down (in Norway) or bottom-up fashion (UK). More importantly, these projects have contributed to the identification and articulation of the various systemic barriers that impede the wider diffusion of assisted living technologies among a broad range of stakeholders. Through their emphasis on co-design and co-creation, these projects demonstrated the value of early implementation pilots to explore the ‘fit’ between novel technologies and prevailing practices and institutional structures in national systems of care. </w:t>
      </w:r>
    </w:p>
    <w:p w14:paraId="034DB107" w14:textId="542557AC" w:rsidR="00C14259" w:rsidRDefault="00C14259" w:rsidP="00C14259">
      <w:pPr>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also demonstrated that </w:t>
      </w:r>
      <w:r w:rsidR="00236907">
        <w:rPr>
          <w:rFonts w:ascii="Times New Roman" w:hAnsi="Times New Roman" w:cs="Times New Roman"/>
          <w:sz w:val="24"/>
          <w:szCs w:val="24"/>
          <w:lang w:val="en-US"/>
        </w:rPr>
        <w:t>a</w:t>
      </w:r>
      <w:r>
        <w:rPr>
          <w:rFonts w:ascii="Times New Roman" w:hAnsi="Times New Roman" w:cs="Times New Roman"/>
          <w:sz w:val="24"/>
          <w:szCs w:val="24"/>
          <w:lang w:val="en-US"/>
        </w:rPr>
        <w:t xml:space="preserve"> relatively sharp distinction drawn between social and technological innovation is not very productive, as the implementation of </w:t>
      </w:r>
      <w:r w:rsidR="00236907">
        <w:rPr>
          <w:rFonts w:ascii="Times New Roman" w:hAnsi="Times New Roman" w:cs="Times New Roman"/>
          <w:sz w:val="24"/>
          <w:szCs w:val="24"/>
          <w:lang w:val="en-US"/>
        </w:rPr>
        <w:t>assisted living</w:t>
      </w:r>
      <w:r>
        <w:rPr>
          <w:rFonts w:ascii="Times New Roman" w:hAnsi="Times New Roman" w:cs="Times New Roman"/>
          <w:sz w:val="24"/>
          <w:szCs w:val="24"/>
          <w:lang w:val="en-US"/>
        </w:rPr>
        <w:t xml:space="preserve"> technologies necessarily involves both. </w:t>
      </w:r>
      <w:r w:rsidRPr="00E10A6B">
        <w:rPr>
          <w:rFonts w:ascii="Times New Roman" w:hAnsi="Times New Roman" w:cs="Times New Roman"/>
          <w:sz w:val="24"/>
          <w:szCs w:val="24"/>
          <w:lang w:val="en-US"/>
        </w:rPr>
        <w:t xml:space="preserve">An implication of both cases is that national rules and regulations need to foster rather than frustrate local experimentation along the lines suggested by proponents of experimentalist governance (Sabel and Zeitlin, 2012). </w:t>
      </w:r>
      <w:r w:rsidR="00693DDC">
        <w:rPr>
          <w:rFonts w:ascii="Times New Roman" w:hAnsi="Times New Roman" w:cs="Times New Roman"/>
          <w:sz w:val="24"/>
          <w:szCs w:val="24"/>
          <w:lang w:val="en-US"/>
        </w:rPr>
        <w:t>T</w:t>
      </w:r>
      <w:r w:rsidRPr="00E10A6B">
        <w:rPr>
          <w:rFonts w:ascii="Times New Roman" w:hAnsi="Times New Roman" w:cs="Times New Roman"/>
          <w:sz w:val="24"/>
          <w:szCs w:val="24"/>
          <w:lang w:val="en-US"/>
        </w:rPr>
        <w:t xml:space="preserve">hese projects show that experimentation is in fact allowed to happen at the niche level, through </w:t>
      </w:r>
      <w:r w:rsidR="000A3C2C" w:rsidRPr="00E10A6B">
        <w:rPr>
          <w:rFonts w:ascii="Times New Roman" w:hAnsi="Times New Roman" w:cs="Times New Roman"/>
          <w:sz w:val="24"/>
          <w:szCs w:val="24"/>
          <w:lang w:val="en-US"/>
        </w:rPr>
        <w:t>either</w:t>
      </w:r>
      <w:r w:rsidR="000A3C2C" w:rsidRPr="00E10A6B">
        <w:rPr>
          <w:rFonts w:ascii="Times New Roman" w:hAnsi="Times New Roman" w:cs="Times New Roman"/>
          <w:sz w:val="24"/>
          <w:szCs w:val="24"/>
          <w:lang w:val="en-US"/>
        </w:rPr>
        <w:t xml:space="preserve"> </w:t>
      </w:r>
      <w:r w:rsidRPr="00E10A6B">
        <w:rPr>
          <w:rFonts w:ascii="Times New Roman" w:hAnsi="Times New Roman" w:cs="Times New Roman"/>
          <w:sz w:val="24"/>
          <w:szCs w:val="24"/>
          <w:lang w:val="en-US"/>
        </w:rPr>
        <w:t xml:space="preserve">bottom-up tendering or </w:t>
      </w:r>
      <w:r w:rsidR="003B78EE">
        <w:rPr>
          <w:rFonts w:ascii="Times New Roman" w:hAnsi="Times New Roman" w:cs="Times New Roman"/>
          <w:sz w:val="24"/>
          <w:szCs w:val="24"/>
          <w:lang w:val="en-US"/>
        </w:rPr>
        <w:t xml:space="preserve">top-down </w:t>
      </w:r>
      <w:r w:rsidRPr="00E10A6B">
        <w:rPr>
          <w:rFonts w:ascii="Times New Roman" w:hAnsi="Times New Roman" w:cs="Times New Roman"/>
          <w:sz w:val="24"/>
          <w:szCs w:val="24"/>
          <w:lang w:val="en-US"/>
        </w:rPr>
        <w:t>pilot projecting, with the main barrier</w:t>
      </w:r>
      <w:r w:rsidR="000A3C2C">
        <w:rPr>
          <w:rFonts w:ascii="Times New Roman" w:hAnsi="Times New Roman" w:cs="Times New Roman"/>
          <w:sz w:val="24"/>
          <w:szCs w:val="24"/>
          <w:lang w:val="en-US"/>
        </w:rPr>
        <w:t>s emerging</w:t>
      </w:r>
      <w:r w:rsidR="00435713">
        <w:rPr>
          <w:rFonts w:ascii="Times New Roman" w:hAnsi="Times New Roman" w:cs="Times New Roman"/>
          <w:sz w:val="24"/>
          <w:szCs w:val="24"/>
          <w:lang w:val="en-US"/>
        </w:rPr>
        <w:t xml:space="preserve"> </w:t>
      </w:r>
      <w:r w:rsidRPr="00E10A6B">
        <w:rPr>
          <w:rFonts w:ascii="Times New Roman" w:hAnsi="Times New Roman" w:cs="Times New Roman"/>
          <w:sz w:val="24"/>
          <w:szCs w:val="24"/>
          <w:lang w:val="en-US"/>
        </w:rPr>
        <w:t xml:space="preserve">at the empowerment </w:t>
      </w:r>
      <w:r w:rsidRPr="00E10A6B">
        <w:rPr>
          <w:rFonts w:ascii="Times New Roman" w:hAnsi="Times New Roman" w:cs="Times New Roman"/>
          <w:sz w:val="24"/>
          <w:szCs w:val="24"/>
          <w:lang w:val="en-US"/>
        </w:rPr>
        <w:lastRenderedPageBreak/>
        <w:t>stage.</w:t>
      </w:r>
      <w:r w:rsidR="00094354">
        <w:rPr>
          <w:rFonts w:ascii="Times New Roman" w:hAnsi="Times New Roman" w:cs="Times New Roman"/>
          <w:sz w:val="24"/>
          <w:szCs w:val="24"/>
          <w:lang w:val="en-US"/>
        </w:rPr>
        <w:t xml:space="preserve"> In this sense</w:t>
      </w:r>
      <w:r w:rsidR="000A3C2C">
        <w:rPr>
          <w:rFonts w:ascii="Times New Roman" w:hAnsi="Times New Roman" w:cs="Times New Roman"/>
          <w:sz w:val="24"/>
          <w:szCs w:val="24"/>
          <w:lang w:val="en-US"/>
        </w:rPr>
        <w:t>,</w:t>
      </w:r>
      <w:r w:rsidR="00094354">
        <w:rPr>
          <w:rFonts w:ascii="Times New Roman" w:hAnsi="Times New Roman" w:cs="Times New Roman"/>
          <w:sz w:val="24"/>
          <w:szCs w:val="24"/>
          <w:lang w:val="en-US"/>
        </w:rPr>
        <w:t xml:space="preserve"> the cases have highlighted the importance of coordinating mechanisms in the governance of system change.</w:t>
      </w:r>
    </w:p>
    <w:p w14:paraId="7E9AAF12" w14:textId="710BDDC9" w:rsidR="00C14259" w:rsidRPr="00C14259" w:rsidRDefault="00C14259" w:rsidP="00C14259">
      <w:pPr>
        <w:spacing w:after="240" w:line="480" w:lineRule="auto"/>
        <w:jc w:val="both"/>
        <w:rPr>
          <w:rFonts w:ascii="Times New Roman" w:hAnsi="Times New Roman" w:cs="Times New Roman"/>
          <w:sz w:val="24"/>
          <w:szCs w:val="24"/>
          <w:lang w:val="en-US"/>
        </w:rPr>
      </w:pPr>
      <w:r w:rsidRPr="00C14259">
        <w:rPr>
          <w:rFonts w:ascii="Times New Roman" w:hAnsi="Times New Roman" w:cs="Times New Roman"/>
          <w:sz w:val="24"/>
          <w:szCs w:val="24"/>
          <w:lang w:val="en-US"/>
        </w:rPr>
        <w:t>Empowerment would require reflexivity and policy coordination, which are in these particular cases in conflict. In the UK case study, the small scale of projects and their project based funding encourages</w:t>
      </w:r>
      <w:r w:rsidR="00DA3287">
        <w:rPr>
          <w:rFonts w:ascii="Times New Roman" w:hAnsi="Times New Roman" w:cs="Times New Roman"/>
          <w:sz w:val="24"/>
          <w:szCs w:val="24"/>
          <w:lang w:val="en-US"/>
        </w:rPr>
        <w:t xml:space="preserve"> a type of</w:t>
      </w:r>
      <w:r w:rsidRPr="00C14259">
        <w:rPr>
          <w:rFonts w:ascii="Times New Roman" w:hAnsi="Times New Roman" w:cs="Times New Roman"/>
          <w:sz w:val="24"/>
          <w:szCs w:val="24"/>
          <w:lang w:val="en-US"/>
        </w:rPr>
        <w:t xml:space="preserve"> reflexivity</w:t>
      </w:r>
      <w:r w:rsidR="00DA3287">
        <w:rPr>
          <w:rFonts w:ascii="Times New Roman" w:hAnsi="Times New Roman" w:cs="Times New Roman"/>
          <w:sz w:val="24"/>
          <w:szCs w:val="24"/>
          <w:lang w:val="en-US"/>
        </w:rPr>
        <w:t xml:space="preserve"> restricted to the evaluation of outcomes and</w:t>
      </w:r>
      <w:r w:rsidRPr="00C14259">
        <w:rPr>
          <w:rFonts w:ascii="Times New Roman" w:hAnsi="Times New Roman" w:cs="Times New Roman"/>
          <w:sz w:val="24"/>
          <w:szCs w:val="24"/>
          <w:lang w:val="en-US"/>
        </w:rPr>
        <w:t xml:space="preserve"> it is not supported by the existence of mediating public sector </w:t>
      </w:r>
      <w:r w:rsidR="000A3C2C" w:rsidRPr="00C14259">
        <w:rPr>
          <w:rFonts w:ascii="Times New Roman" w:hAnsi="Times New Roman" w:cs="Times New Roman"/>
          <w:sz w:val="24"/>
          <w:szCs w:val="24"/>
          <w:lang w:val="en-US"/>
        </w:rPr>
        <w:t>organizations</w:t>
      </w:r>
      <w:r w:rsidRPr="00C14259">
        <w:rPr>
          <w:rFonts w:ascii="Times New Roman" w:hAnsi="Times New Roman" w:cs="Times New Roman"/>
          <w:sz w:val="24"/>
          <w:szCs w:val="24"/>
          <w:lang w:val="en-US"/>
        </w:rPr>
        <w:t xml:space="preserve"> that could link its results to reforms in the health sector. This reinforces policy silos and frustrates coordination across policy domains. In the Norwegian case, the centralized approach could in principle facilitate policy coordination, except that the underlying tensions between local and central government </w:t>
      </w:r>
      <w:r w:rsidR="00CB0100">
        <w:rPr>
          <w:rFonts w:ascii="Times New Roman" w:hAnsi="Times New Roman" w:cs="Times New Roman"/>
          <w:sz w:val="24"/>
          <w:szCs w:val="24"/>
          <w:lang w:val="en-US"/>
        </w:rPr>
        <w:t>challenge</w:t>
      </w:r>
      <w:r w:rsidR="00DA3287">
        <w:rPr>
          <w:rFonts w:ascii="Times New Roman" w:hAnsi="Times New Roman" w:cs="Times New Roman"/>
          <w:sz w:val="24"/>
          <w:szCs w:val="24"/>
          <w:lang w:val="en-US"/>
        </w:rPr>
        <w:t>s</w:t>
      </w:r>
      <w:r w:rsidR="00CB0100">
        <w:rPr>
          <w:rFonts w:ascii="Times New Roman" w:hAnsi="Times New Roman" w:cs="Times New Roman"/>
          <w:sz w:val="24"/>
          <w:szCs w:val="24"/>
          <w:lang w:val="en-US"/>
        </w:rPr>
        <w:t xml:space="preserve"> synchronization and coordination</w:t>
      </w:r>
      <w:r w:rsidRPr="00C14259">
        <w:rPr>
          <w:rFonts w:ascii="Times New Roman" w:hAnsi="Times New Roman" w:cs="Times New Roman"/>
          <w:sz w:val="24"/>
          <w:szCs w:val="24"/>
          <w:lang w:val="en-US"/>
        </w:rPr>
        <w:t>. These would be necessary to produce practice based learning and to identify appropriate paths towards upscaling and system change. One can therefore argue that for both countries, reflexivity and a capacity and willingness to learn from experiments (i.e. to learn from experience and mista</w:t>
      </w:r>
      <w:r w:rsidR="000A3C2C">
        <w:rPr>
          <w:rFonts w:ascii="Times New Roman" w:hAnsi="Times New Roman" w:cs="Times New Roman"/>
          <w:sz w:val="24"/>
          <w:szCs w:val="24"/>
          <w:lang w:val="en-US"/>
        </w:rPr>
        <w:t>kes) remain limited to project-</w:t>
      </w:r>
      <w:r w:rsidRPr="00C14259">
        <w:rPr>
          <w:rFonts w:ascii="Times New Roman" w:hAnsi="Times New Roman" w:cs="Times New Roman"/>
          <w:sz w:val="24"/>
          <w:szCs w:val="24"/>
          <w:lang w:val="en-US"/>
        </w:rPr>
        <w:t xml:space="preserve">based (internal) learning. </w:t>
      </w:r>
    </w:p>
    <w:p w14:paraId="0A87EAFF" w14:textId="46F00E98" w:rsidR="00DA3287" w:rsidRPr="00C14259" w:rsidRDefault="00C14259" w:rsidP="00C14259">
      <w:pPr>
        <w:spacing w:after="240" w:line="480" w:lineRule="auto"/>
        <w:jc w:val="both"/>
        <w:rPr>
          <w:rFonts w:ascii="Times New Roman" w:hAnsi="Times New Roman" w:cs="Times New Roman"/>
          <w:sz w:val="24"/>
          <w:szCs w:val="24"/>
          <w:lang w:val="en-US"/>
        </w:rPr>
      </w:pPr>
      <w:r w:rsidRPr="00C14259">
        <w:rPr>
          <w:rFonts w:ascii="Times New Roman" w:hAnsi="Times New Roman" w:cs="Times New Roman"/>
          <w:sz w:val="24"/>
          <w:szCs w:val="24"/>
          <w:lang w:val="en-US"/>
        </w:rPr>
        <w:t>The cases were most strikingly different in terms of addressing the transformational system failure concerning directionality. In Norway, the state took a lead role and pointed out explicitly the direction of search in finding solutions to address active and healthy ageing.</w:t>
      </w:r>
      <w:r>
        <w:rPr>
          <w:rFonts w:ascii="Times New Roman" w:hAnsi="Times New Roman" w:cs="Times New Roman"/>
          <w:sz w:val="24"/>
          <w:szCs w:val="24"/>
          <w:lang w:val="en-US"/>
        </w:rPr>
        <w:t xml:space="preserve"> </w:t>
      </w:r>
      <w:r w:rsidRPr="00C14259">
        <w:rPr>
          <w:rFonts w:ascii="Times New Roman" w:hAnsi="Times New Roman" w:cs="Times New Roman"/>
          <w:sz w:val="24"/>
          <w:szCs w:val="24"/>
          <w:lang w:val="en-US"/>
        </w:rPr>
        <w:t xml:space="preserve">It clearly set an agenda and provided a roadmap for assisted living technologies (e.g. by relating it to international technological standards in the Continua platform). The rationale for doing so has been to ensure </w:t>
      </w:r>
      <w:r w:rsidR="00634499" w:rsidRPr="00C14259">
        <w:rPr>
          <w:rFonts w:ascii="Times New Roman" w:hAnsi="Times New Roman" w:cs="Times New Roman"/>
          <w:sz w:val="24"/>
          <w:szCs w:val="24"/>
          <w:lang w:val="en-US"/>
        </w:rPr>
        <w:t xml:space="preserve">interoperability </w:t>
      </w:r>
      <w:r w:rsidR="00634499">
        <w:rPr>
          <w:rFonts w:ascii="Times New Roman" w:hAnsi="Times New Roman" w:cs="Times New Roman"/>
          <w:sz w:val="24"/>
          <w:szCs w:val="24"/>
          <w:lang w:val="en-US"/>
        </w:rPr>
        <w:t xml:space="preserve">and thereby </w:t>
      </w:r>
      <w:r w:rsidRPr="00C14259">
        <w:rPr>
          <w:rFonts w:ascii="Times New Roman" w:hAnsi="Times New Roman" w:cs="Times New Roman"/>
          <w:sz w:val="24"/>
          <w:szCs w:val="24"/>
          <w:lang w:val="en-US"/>
        </w:rPr>
        <w:t xml:space="preserve">competition between different solutions in order to secure </w:t>
      </w:r>
      <w:r w:rsidR="00634499">
        <w:rPr>
          <w:rFonts w:ascii="Times New Roman" w:hAnsi="Times New Roman" w:cs="Times New Roman"/>
          <w:sz w:val="24"/>
          <w:szCs w:val="24"/>
          <w:lang w:val="en-US"/>
        </w:rPr>
        <w:t xml:space="preserve">innovation and </w:t>
      </w:r>
      <w:r w:rsidRPr="00C14259">
        <w:rPr>
          <w:rFonts w:ascii="Times New Roman" w:hAnsi="Times New Roman" w:cs="Times New Roman"/>
          <w:sz w:val="24"/>
          <w:szCs w:val="24"/>
          <w:lang w:val="en-US"/>
        </w:rPr>
        <w:t xml:space="preserve">scalability in the pilot projects. </w:t>
      </w:r>
      <w:r w:rsidRPr="0026344C">
        <w:rPr>
          <w:rFonts w:ascii="Times New Roman" w:hAnsi="Times New Roman" w:cs="Times New Roman"/>
          <w:sz w:val="24"/>
          <w:szCs w:val="24"/>
          <w:lang w:val="en-US"/>
        </w:rPr>
        <w:t>In the UK,</w:t>
      </w:r>
      <w:r w:rsidRPr="00C14259">
        <w:rPr>
          <w:rFonts w:ascii="Times New Roman" w:hAnsi="Times New Roman" w:cs="Times New Roman"/>
          <w:sz w:val="24"/>
          <w:szCs w:val="24"/>
          <w:lang w:val="en-US"/>
        </w:rPr>
        <w:t xml:space="preserve"> there was far less guidance concerning directionality as the programme was largely designed to facilitate bottom-up, community based responses and initiatives. As a result, pilot projects were internally guided by committed individuals and </w:t>
      </w:r>
      <w:r w:rsidR="000A3C2C" w:rsidRPr="00C14259">
        <w:rPr>
          <w:rFonts w:ascii="Times New Roman" w:hAnsi="Times New Roman" w:cs="Times New Roman"/>
          <w:sz w:val="24"/>
          <w:szCs w:val="24"/>
          <w:lang w:val="en-US"/>
        </w:rPr>
        <w:t>organizations</w:t>
      </w:r>
      <w:r w:rsidRPr="00C14259">
        <w:rPr>
          <w:rFonts w:ascii="Times New Roman" w:hAnsi="Times New Roman" w:cs="Times New Roman"/>
          <w:sz w:val="24"/>
          <w:szCs w:val="24"/>
          <w:lang w:val="en-US"/>
        </w:rPr>
        <w:t xml:space="preserve"> with a clear, shared vision of goals and aims, but without a bridging mechanism to achieve overall coordination. In simple terms, one could argue </w:t>
      </w:r>
      <w:r w:rsidRPr="00C14259">
        <w:rPr>
          <w:rFonts w:ascii="Times New Roman" w:hAnsi="Times New Roman" w:cs="Times New Roman"/>
          <w:sz w:val="24"/>
          <w:szCs w:val="24"/>
          <w:lang w:val="en-US"/>
        </w:rPr>
        <w:lastRenderedPageBreak/>
        <w:t>that the Norwegian case was better at achieving coordination, while the UK case had a broader inclusion of various user groups and stakeholders in the niche projects. In Norway there was limited participation from test users, NGO’s and other types of stakeholders.</w:t>
      </w:r>
      <w:r>
        <w:rPr>
          <w:rFonts w:ascii="Times New Roman" w:hAnsi="Times New Roman" w:cs="Times New Roman"/>
          <w:sz w:val="24"/>
          <w:szCs w:val="24"/>
          <w:lang w:val="en-US"/>
        </w:rPr>
        <w:t xml:space="preserve"> The Norwegian state might eventually prove to be better at upscaling</w:t>
      </w:r>
      <w:r w:rsidR="00435713">
        <w:rPr>
          <w:rFonts w:ascii="Times New Roman" w:hAnsi="Times New Roman" w:cs="Times New Roman"/>
          <w:sz w:val="24"/>
          <w:szCs w:val="24"/>
          <w:lang w:val="en-US"/>
        </w:rPr>
        <w:t xml:space="preserve"> to the national level</w:t>
      </w:r>
      <w:r>
        <w:rPr>
          <w:rFonts w:ascii="Times New Roman" w:hAnsi="Times New Roman" w:cs="Times New Roman"/>
          <w:sz w:val="24"/>
          <w:szCs w:val="24"/>
          <w:lang w:val="en-US"/>
        </w:rPr>
        <w:t xml:space="preserve">, if stages three and four are successful. </w:t>
      </w:r>
      <w:r w:rsidRPr="00435713">
        <w:rPr>
          <w:rFonts w:ascii="Times New Roman" w:hAnsi="Times New Roman" w:cs="Times New Roman"/>
          <w:sz w:val="24"/>
          <w:szCs w:val="24"/>
          <w:lang w:val="en-US"/>
        </w:rPr>
        <w:t>No comparative stages are predicted in the UK.</w:t>
      </w:r>
    </w:p>
    <w:p w14:paraId="607C4970" w14:textId="1FFAC412" w:rsidR="00A90E5B" w:rsidRPr="006D501E" w:rsidRDefault="00591DD0" w:rsidP="00DA712E">
      <w:pPr>
        <w:pStyle w:val="Heading2"/>
        <w:rPr>
          <w:lang w:val="en-US"/>
        </w:rPr>
      </w:pPr>
      <w:r>
        <w:rPr>
          <w:lang w:val="en-US"/>
        </w:rPr>
        <w:t xml:space="preserve">7 </w:t>
      </w:r>
      <w:r w:rsidR="00A90E5B" w:rsidRPr="006D501E">
        <w:rPr>
          <w:lang w:val="en-US"/>
        </w:rPr>
        <w:t>Conclusions</w:t>
      </w:r>
    </w:p>
    <w:p w14:paraId="1B1A4533" w14:textId="5E64E6D5" w:rsidR="00C14259" w:rsidRDefault="00211B6A" w:rsidP="000356A0">
      <w:pPr>
        <w:spacing w:after="240" w:line="480" w:lineRule="auto"/>
        <w:jc w:val="both"/>
        <w:rPr>
          <w:rFonts w:ascii="Times New Roman" w:hAnsi="Times New Roman" w:cs="Times New Roman"/>
          <w:sz w:val="24"/>
          <w:szCs w:val="24"/>
          <w:lang w:val="en-US"/>
        </w:rPr>
      </w:pPr>
      <w:r w:rsidRPr="00211B6A">
        <w:rPr>
          <w:rFonts w:ascii="Times New Roman" w:hAnsi="Times New Roman" w:cs="Times New Roman"/>
          <w:sz w:val="24"/>
          <w:szCs w:val="24"/>
          <w:lang w:val="en-US"/>
        </w:rPr>
        <w:t xml:space="preserve">The aim of this paper </w:t>
      </w:r>
      <w:r>
        <w:rPr>
          <w:rFonts w:ascii="Times New Roman" w:hAnsi="Times New Roman" w:cs="Times New Roman"/>
          <w:sz w:val="24"/>
          <w:szCs w:val="24"/>
          <w:lang w:val="en-US"/>
        </w:rPr>
        <w:t>has been</w:t>
      </w:r>
      <w:r w:rsidRPr="00211B6A">
        <w:rPr>
          <w:rFonts w:ascii="Times New Roman" w:hAnsi="Times New Roman" w:cs="Times New Roman"/>
          <w:sz w:val="24"/>
          <w:szCs w:val="24"/>
          <w:lang w:val="en-US"/>
        </w:rPr>
        <w:t xml:space="preserve"> to identify and understand </w:t>
      </w:r>
      <w:r w:rsidR="00236907">
        <w:rPr>
          <w:rFonts w:ascii="Times New Roman" w:hAnsi="Times New Roman" w:cs="Times New Roman"/>
          <w:sz w:val="24"/>
          <w:szCs w:val="24"/>
          <w:lang w:val="en-US"/>
        </w:rPr>
        <w:t>different</w:t>
      </w:r>
      <w:r w:rsidR="008A00A8" w:rsidRPr="008A00A8">
        <w:rPr>
          <w:rFonts w:ascii="Times New Roman" w:hAnsi="Times New Roman" w:cs="Times New Roman"/>
          <w:sz w:val="24"/>
          <w:szCs w:val="24"/>
          <w:lang w:val="en-US"/>
        </w:rPr>
        <w:t xml:space="preserve"> approaches to govern</w:t>
      </w:r>
      <w:r w:rsidR="00BA5C5D">
        <w:rPr>
          <w:rFonts w:ascii="Times New Roman" w:hAnsi="Times New Roman" w:cs="Times New Roman"/>
          <w:sz w:val="24"/>
          <w:szCs w:val="24"/>
          <w:lang w:val="en-US"/>
        </w:rPr>
        <w:t>ing</w:t>
      </w:r>
      <w:r w:rsidR="008A00A8" w:rsidRPr="008A00A8">
        <w:rPr>
          <w:rFonts w:ascii="Times New Roman" w:hAnsi="Times New Roman" w:cs="Times New Roman"/>
          <w:sz w:val="24"/>
          <w:szCs w:val="24"/>
          <w:lang w:val="en-US"/>
        </w:rPr>
        <w:t xml:space="preserve"> system innovation by comparing state responses to assisted living in two contrasting national systems of care, namely that of the UK and Norway</w:t>
      </w:r>
      <w:r w:rsidRPr="00211B6A">
        <w:rPr>
          <w:rFonts w:ascii="Times New Roman" w:hAnsi="Times New Roman" w:cs="Times New Roman"/>
          <w:sz w:val="24"/>
          <w:szCs w:val="24"/>
          <w:lang w:val="en-US"/>
        </w:rPr>
        <w:t>.</w:t>
      </w:r>
      <w:r w:rsidR="00B82AA6">
        <w:rPr>
          <w:rFonts w:ascii="Times New Roman" w:hAnsi="Times New Roman" w:cs="Times New Roman"/>
          <w:sz w:val="24"/>
          <w:szCs w:val="24"/>
          <w:lang w:val="en-US"/>
        </w:rPr>
        <w:t xml:space="preserve"> </w:t>
      </w:r>
      <w:r w:rsidR="009505B4">
        <w:rPr>
          <w:rFonts w:ascii="Times New Roman" w:hAnsi="Times New Roman" w:cs="Times New Roman"/>
          <w:sz w:val="24"/>
          <w:szCs w:val="24"/>
          <w:lang w:val="en-US"/>
        </w:rPr>
        <w:t>In order to shed light on these issues we have applied theorizing on strategic niche management</w:t>
      </w:r>
      <w:r w:rsidR="009A50E6">
        <w:rPr>
          <w:rFonts w:ascii="Times New Roman" w:hAnsi="Times New Roman" w:cs="Times New Roman"/>
          <w:sz w:val="24"/>
          <w:szCs w:val="24"/>
          <w:lang w:val="en-US"/>
        </w:rPr>
        <w:t>,</w:t>
      </w:r>
      <w:r w:rsidR="009505B4">
        <w:rPr>
          <w:rFonts w:ascii="Times New Roman" w:hAnsi="Times New Roman" w:cs="Times New Roman"/>
          <w:sz w:val="24"/>
          <w:szCs w:val="24"/>
          <w:lang w:val="en-US"/>
        </w:rPr>
        <w:t xml:space="preserve"> the embedded state</w:t>
      </w:r>
      <w:r w:rsidR="008300F9">
        <w:rPr>
          <w:rFonts w:ascii="Times New Roman" w:hAnsi="Times New Roman" w:cs="Times New Roman"/>
          <w:sz w:val="24"/>
          <w:szCs w:val="24"/>
          <w:lang w:val="en-US"/>
        </w:rPr>
        <w:t xml:space="preserve"> and transformational </w:t>
      </w:r>
      <w:r w:rsidR="009D3E3B">
        <w:rPr>
          <w:rFonts w:ascii="Times New Roman" w:hAnsi="Times New Roman" w:cs="Times New Roman"/>
          <w:sz w:val="24"/>
          <w:szCs w:val="24"/>
          <w:lang w:val="en-US"/>
        </w:rPr>
        <w:t>system</w:t>
      </w:r>
      <w:r w:rsidR="008300F9">
        <w:rPr>
          <w:rFonts w:ascii="Times New Roman" w:hAnsi="Times New Roman" w:cs="Times New Roman"/>
          <w:sz w:val="24"/>
          <w:szCs w:val="24"/>
          <w:lang w:val="en-US"/>
        </w:rPr>
        <w:t xml:space="preserve"> failures</w:t>
      </w:r>
      <w:r w:rsidR="009505B4">
        <w:rPr>
          <w:rFonts w:ascii="Times New Roman" w:hAnsi="Times New Roman" w:cs="Times New Roman"/>
          <w:sz w:val="24"/>
          <w:szCs w:val="24"/>
          <w:lang w:val="en-US"/>
        </w:rPr>
        <w:t xml:space="preserve">. </w:t>
      </w:r>
      <w:r w:rsidR="00C14259">
        <w:rPr>
          <w:rFonts w:ascii="Times New Roman" w:hAnsi="Times New Roman" w:cs="Times New Roman"/>
          <w:sz w:val="24"/>
          <w:szCs w:val="24"/>
          <w:lang w:val="en-US"/>
        </w:rPr>
        <w:t xml:space="preserve">We will now draw some theoretical conclusions from our empirical analysis. </w:t>
      </w:r>
    </w:p>
    <w:p w14:paraId="36CC9305" w14:textId="3526A297" w:rsidR="00EB0F43" w:rsidRDefault="0026344C" w:rsidP="003416C7">
      <w:pPr>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paper has shown how </w:t>
      </w:r>
      <w:r w:rsidR="00C14259">
        <w:rPr>
          <w:rFonts w:ascii="Times New Roman" w:hAnsi="Times New Roman" w:cs="Times New Roman"/>
          <w:sz w:val="24"/>
          <w:szCs w:val="24"/>
          <w:lang w:val="en-US"/>
        </w:rPr>
        <w:t xml:space="preserve">the societal challenge of ageing and the development of assisted living technologies imply adjustments at the technological, </w:t>
      </w:r>
      <w:r w:rsidR="00143FEA">
        <w:rPr>
          <w:rFonts w:ascii="Times New Roman" w:hAnsi="Times New Roman" w:cs="Times New Roman"/>
          <w:sz w:val="24"/>
          <w:szCs w:val="24"/>
          <w:lang w:val="en-US"/>
        </w:rPr>
        <w:t xml:space="preserve">organizational, </w:t>
      </w:r>
      <w:r w:rsidR="00C14259">
        <w:rPr>
          <w:rFonts w:ascii="Times New Roman" w:hAnsi="Times New Roman" w:cs="Times New Roman"/>
          <w:sz w:val="24"/>
          <w:szCs w:val="24"/>
          <w:lang w:val="en-US"/>
        </w:rPr>
        <w:t>institutional or social levels</w:t>
      </w:r>
      <w:r>
        <w:rPr>
          <w:rFonts w:ascii="Times New Roman" w:hAnsi="Times New Roman" w:cs="Times New Roman"/>
          <w:sz w:val="24"/>
          <w:szCs w:val="24"/>
          <w:lang w:val="en-US"/>
        </w:rPr>
        <w:t xml:space="preserve">. </w:t>
      </w:r>
      <w:r w:rsidR="004E2DFE">
        <w:rPr>
          <w:rFonts w:ascii="Times New Roman" w:hAnsi="Times New Roman" w:cs="Times New Roman"/>
          <w:sz w:val="24"/>
          <w:szCs w:val="24"/>
          <w:lang w:val="en-US"/>
        </w:rPr>
        <w:t xml:space="preserve">Through the analysis and discussions of the two cases we have </w:t>
      </w:r>
      <w:r w:rsidR="00C252CC">
        <w:rPr>
          <w:rFonts w:ascii="Times New Roman" w:hAnsi="Times New Roman" w:cs="Times New Roman"/>
          <w:sz w:val="24"/>
          <w:szCs w:val="24"/>
          <w:lang w:val="en-US"/>
        </w:rPr>
        <w:t>arrived at a closer</w:t>
      </w:r>
      <w:r w:rsidR="004E2DFE">
        <w:rPr>
          <w:rFonts w:ascii="Times New Roman" w:hAnsi="Times New Roman" w:cs="Times New Roman"/>
          <w:sz w:val="24"/>
          <w:szCs w:val="24"/>
          <w:lang w:val="en-US"/>
        </w:rPr>
        <w:t xml:space="preserve"> </w:t>
      </w:r>
      <w:r w:rsidR="00506329">
        <w:rPr>
          <w:rFonts w:ascii="Times New Roman" w:hAnsi="Times New Roman" w:cs="Times New Roman"/>
          <w:sz w:val="24"/>
          <w:szCs w:val="24"/>
          <w:lang w:val="en-US"/>
        </w:rPr>
        <w:t xml:space="preserve">understanding of the relation </w:t>
      </w:r>
      <w:r w:rsidR="004E2DFE">
        <w:rPr>
          <w:rFonts w:ascii="Times New Roman" w:hAnsi="Times New Roman" w:cs="Times New Roman"/>
          <w:sz w:val="24"/>
          <w:szCs w:val="24"/>
          <w:lang w:val="en-US"/>
        </w:rPr>
        <w:t xml:space="preserve">between </w:t>
      </w:r>
      <w:r w:rsidR="000F479F">
        <w:rPr>
          <w:rFonts w:ascii="Times New Roman" w:hAnsi="Times New Roman" w:cs="Times New Roman"/>
          <w:sz w:val="24"/>
          <w:szCs w:val="24"/>
          <w:lang w:val="en-US"/>
        </w:rPr>
        <w:t>the notions of shielding, nurt</w:t>
      </w:r>
      <w:r w:rsidR="004E2DFE">
        <w:rPr>
          <w:rFonts w:ascii="Times New Roman" w:hAnsi="Times New Roman" w:cs="Times New Roman"/>
          <w:sz w:val="24"/>
          <w:szCs w:val="24"/>
          <w:lang w:val="en-US"/>
        </w:rPr>
        <w:t xml:space="preserve">uring and empowerment in SNM on the one hand, and the four transformational </w:t>
      </w:r>
      <w:r w:rsidR="009D3E3B">
        <w:rPr>
          <w:rFonts w:ascii="Times New Roman" w:hAnsi="Times New Roman" w:cs="Times New Roman"/>
          <w:sz w:val="24"/>
          <w:szCs w:val="24"/>
          <w:lang w:val="en-US"/>
        </w:rPr>
        <w:t>system</w:t>
      </w:r>
      <w:r w:rsidR="004E2DFE">
        <w:rPr>
          <w:rFonts w:ascii="Times New Roman" w:hAnsi="Times New Roman" w:cs="Times New Roman"/>
          <w:sz w:val="24"/>
          <w:szCs w:val="24"/>
          <w:lang w:val="en-US"/>
        </w:rPr>
        <w:t xml:space="preserve"> failures </w:t>
      </w:r>
      <w:r w:rsidR="00506329">
        <w:rPr>
          <w:rFonts w:ascii="Times New Roman" w:hAnsi="Times New Roman" w:cs="Times New Roman"/>
          <w:sz w:val="24"/>
          <w:szCs w:val="24"/>
          <w:lang w:val="en-US"/>
        </w:rPr>
        <w:t xml:space="preserve">(directionality, demand, coordination and reflexivity) </w:t>
      </w:r>
      <w:r w:rsidR="004E2DFE">
        <w:rPr>
          <w:rFonts w:ascii="Times New Roman" w:hAnsi="Times New Roman" w:cs="Times New Roman"/>
          <w:sz w:val="24"/>
          <w:szCs w:val="24"/>
          <w:lang w:val="en-US"/>
        </w:rPr>
        <w:t>on the other.</w:t>
      </w:r>
      <w:r w:rsidR="00506329">
        <w:rPr>
          <w:rFonts w:ascii="Times New Roman" w:hAnsi="Times New Roman" w:cs="Times New Roman"/>
          <w:sz w:val="24"/>
          <w:szCs w:val="24"/>
          <w:lang w:val="en-US"/>
        </w:rPr>
        <w:t xml:space="preserve"> </w:t>
      </w:r>
      <w:r w:rsidR="00EB0F43">
        <w:rPr>
          <w:rFonts w:ascii="Times New Roman" w:hAnsi="Times New Roman" w:cs="Times New Roman"/>
          <w:sz w:val="24"/>
          <w:szCs w:val="24"/>
          <w:lang w:val="en-US"/>
        </w:rPr>
        <w:t xml:space="preserve">The </w:t>
      </w:r>
      <w:r w:rsidR="00506329">
        <w:rPr>
          <w:rFonts w:ascii="Times New Roman" w:hAnsi="Times New Roman" w:cs="Times New Roman"/>
          <w:sz w:val="24"/>
          <w:szCs w:val="24"/>
          <w:lang w:val="en-US"/>
        </w:rPr>
        <w:t>paper has illuminated how govern</w:t>
      </w:r>
      <w:r w:rsidR="00C23C63">
        <w:rPr>
          <w:rFonts w:ascii="Times New Roman" w:hAnsi="Times New Roman" w:cs="Times New Roman"/>
          <w:sz w:val="24"/>
          <w:szCs w:val="24"/>
          <w:lang w:val="en-US"/>
        </w:rPr>
        <w:t>ing</w:t>
      </w:r>
      <w:r w:rsidR="00506329">
        <w:rPr>
          <w:rFonts w:ascii="Times New Roman" w:hAnsi="Times New Roman" w:cs="Times New Roman"/>
          <w:sz w:val="24"/>
          <w:szCs w:val="24"/>
          <w:lang w:val="en-US"/>
        </w:rPr>
        <w:t xml:space="preserve"> system innovation </w:t>
      </w:r>
      <w:r w:rsidR="00EB0F43">
        <w:rPr>
          <w:rFonts w:ascii="Times New Roman" w:hAnsi="Times New Roman" w:cs="Times New Roman"/>
          <w:sz w:val="24"/>
          <w:szCs w:val="24"/>
          <w:lang w:val="en-US"/>
        </w:rPr>
        <w:t>need</w:t>
      </w:r>
      <w:r w:rsidR="00506329">
        <w:rPr>
          <w:rFonts w:ascii="Times New Roman" w:hAnsi="Times New Roman" w:cs="Times New Roman"/>
          <w:sz w:val="24"/>
          <w:szCs w:val="24"/>
          <w:lang w:val="en-US"/>
        </w:rPr>
        <w:t>s</w:t>
      </w:r>
      <w:r w:rsidR="00EB0F43">
        <w:rPr>
          <w:rFonts w:ascii="Times New Roman" w:hAnsi="Times New Roman" w:cs="Times New Roman"/>
          <w:sz w:val="24"/>
          <w:szCs w:val="24"/>
          <w:lang w:val="en-US"/>
        </w:rPr>
        <w:t xml:space="preserve"> </w:t>
      </w:r>
      <w:r w:rsidR="00506329">
        <w:rPr>
          <w:rFonts w:ascii="Times New Roman" w:hAnsi="Times New Roman" w:cs="Times New Roman"/>
          <w:sz w:val="24"/>
          <w:szCs w:val="24"/>
          <w:lang w:val="en-US"/>
        </w:rPr>
        <w:t>to</w:t>
      </w:r>
      <w:r w:rsidR="00EB0F43">
        <w:rPr>
          <w:rFonts w:ascii="Times New Roman" w:hAnsi="Times New Roman" w:cs="Times New Roman"/>
          <w:sz w:val="24"/>
          <w:szCs w:val="24"/>
          <w:lang w:val="en-US"/>
        </w:rPr>
        <w:t xml:space="preserve"> </w:t>
      </w:r>
      <w:r w:rsidR="00506329">
        <w:rPr>
          <w:rFonts w:ascii="Times New Roman" w:hAnsi="Times New Roman" w:cs="Times New Roman"/>
          <w:sz w:val="24"/>
          <w:szCs w:val="24"/>
          <w:lang w:val="en-US"/>
        </w:rPr>
        <w:t>provide</w:t>
      </w:r>
      <w:r w:rsidR="00EB0F43">
        <w:rPr>
          <w:rFonts w:ascii="Times New Roman" w:hAnsi="Times New Roman" w:cs="Times New Roman"/>
          <w:sz w:val="24"/>
          <w:szCs w:val="24"/>
          <w:lang w:val="en-US"/>
        </w:rPr>
        <w:t xml:space="preserve"> the three SNM stages (i.e. shielding, nurturing and empowering) with directionality and </w:t>
      </w:r>
      <w:r w:rsidR="00E519E7">
        <w:rPr>
          <w:rFonts w:ascii="Times New Roman" w:hAnsi="Times New Roman" w:cs="Times New Roman"/>
          <w:sz w:val="24"/>
          <w:szCs w:val="24"/>
          <w:lang w:val="en-US"/>
        </w:rPr>
        <w:t xml:space="preserve">(societal) </w:t>
      </w:r>
      <w:r w:rsidR="00EB0F43">
        <w:rPr>
          <w:rFonts w:ascii="Times New Roman" w:hAnsi="Times New Roman" w:cs="Times New Roman"/>
          <w:sz w:val="24"/>
          <w:szCs w:val="24"/>
          <w:lang w:val="en-US"/>
        </w:rPr>
        <w:t>demand articulation, as well as ensuring a continuous coordination and reflexivity across the three</w:t>
      </w:r>
      <w:r w:rsidR="00D00174">
        <w:rPr>
          <w:rFonts w:ascii="Times New Roman" w:hAnsi="Times New Roman" w:cs="Times New Roman"/>
          <w:sz w:val="24"/>
          <w:szCs w:val="24"/>
          <w:lang w:val="en-US"/>
        </w:rPr>
        <w:t xml:space="preserve"> governance phases</w:t>
      </w:r>
      <w:r w:rsidR="00425A48">
        <w:rPr>
          <w:rFonts w:ascii="Times New Roman" w:hAnsi="Times New Roman" w:cs="Times New Roman"/>
          <w:sz w:val="24"/>
          <w:szCs w:val="24"/>
          <w:lang w:val="en-US"/>
        </w:rPr>
        <w:t>.</w:t>
      </w:r>
      <w:r w:rsidR="00EB0F43">
        <w:rPr>
          <w:rFonts w:ascii="Times New Roman" w:hAnsi="Times New Roman" w:cs="Times New Roman"/>
          <w:sz w:val="24"/>
          <w:szCs w:val="24"/>
          <w:lang w:val="en-US"/>
        </w:rPr>
        <w:t xml:space="preserve"> </w:t>
      </w:r>
      <w:r w:rsidR="00C23C63" w:rsidRPr="00C23C63">
        <w:rPr>
          <w:rFonts w:ascii="Times New Roman" w:hAnsi="Times New Roman" w:cs="Times New Roman"/>
          <w:sz w:val="24"/>
          <w:szCs w:val="24"/>
          <w:lang w:val="en-US"/>
        </w:rPr>
        <w:t>Th</w:t>
      </w:r>
      <w:r w:rsidR="00C23C63">
        <w:rPr>
          <w:rFonts w:ascii="Times New Roman" w:hAnsi="Times New Roman" w:cs="Times New Roman"/>
          <w:sz w:val="24"/>
          <w:szCs w:val="24"/>
          <w:lang w:val="en-US"/>
        </w:rPr>
        <w:t>e</w:t>
      </w:r>
      <w:r w:rsidR="00C23C63" w:rsidRPr="00C23C63">
        <w:rPr>
          <w:rFonts w:ascii="Times New Roman" w:hAnsi="Times New Roman" w:cs="Times New Roman"/>
          <w:sz w:val="24"/>
          <w:szCs w:val="24"/>
          <w:lang w:val="en-US"/>
        </w:rPr>
        <w:t xml:space="preserve"> integrated and systemic character of such development processes requires several roles and functions from government.</w:t>
      </w:r>
    </w:p>
    <w:p w14:paraId="506915DB" w14:textId="0B6A0F60" w:rsidR="00565AE2" w:rsidRDefault="00390491" w:rsidP="006A4FD5">
      <w:pPr>
        <w:spacing w:after="240" w:line="480" w:lineRule="auto"/>
        <w:jc w:val="both"/>
        <w:rPr>
          <w:rFonts w:ascii="Times New Roman" w:hAnsi="Times New Roman" w:cs="Times New Roman"/>
          <w:sz w:val="24"/>
          <w:szCs w:val="24"/>
          <w:lang w:val="en-US"/>
        </w:rPr>
      </w:pPr>
      <w:r w:rsidRPr="00D51E00">
        <w:rPr>
          <w:rFonts w:ascii="Times New Roman" w:hAnsi="Times New Roman" w:cs="Times New Roman"/>
          <w:sz w:val="24"/>
          <w:szCs w:val="24"/>
          <w:lang w:val="en-US"/>
        </w:rPr>
        <w:t>In addition</w:t>
      </w:r>
      <w:r w:rsidR="00D57554">
        <w:rPr>
          <w:rFonts w:ascii="Times New Roman" w:hAnsi="Times New Roman" w:cs="Times New Roman"/>
          <w:sz w:val="24"/>
          <w:szCs w:val="24"/>
          <w:lang w:val="en-US"/>
        </w:rPr>
        <w:t>, t</w:t>
      </w:r>
      <w:r w:rsidR="00927296">
        <w:rPr>
          <w:rFonts w:ascii="Times New Roman" w:hAnsi="Times New Roman" w:cs="Times New Roman"/>
          <w:sz w:val="24"/>
          <w:szCs w:val="24"/>
          <w:lang w:val="en-US"/>
        </w:rPr>
        <w:t>hese findings</w:t>
      </w:r>
      <w:r w:rsidR="00565AE2">
        <w:rPr>
          <w:rFonts w:ascii="Times New Roman" w:hAnsi="Times New Roman" w:cs="Times New Roman"/>
          <w:sz w:val="24"/>
          <w:szCs w:val="24"/>
          <w:lang w:val="en-US"/>
        </w:rPr>
        <w:t xml:space="preserve"> point out the limitations of </w:t>
      </w:r>
      <w:r w:rsidR="001160E1">
        <w:rPr>
          <w:rFonts w:ascii="Times New Roman" w:hAnsi="Times New Roman" w:cs="Times New Roman"/>
          <w:sz w:val="24"/>
          <w:szCs w:val="24"/>
          <w:lang w:val="en-US"/>
        </w:rPr>
        <w:t xml:space="preserve">the </w:t>
      </w:r>
      <w:r w:rsidR="00565AE2">
        <w:rPr>
          <w:rFonts w:ascii="Times New Roman" w:hAnsi="Times New Roman" w:cs="Times New Roman"/>
          <w:sz w:val="24"/>
          <w:szCs w:val="24"/>
          <w:lang w:val="en-US"/>
        </w:rPr>
        <w:t xml:space="preserve">concept of </w:t>
      </w:r>
      <w:r w:rsidR="00647B55">
        <w:rPr>
          <w:rFonts w:ascii="Times New Roman" w:hAnsi="Times New Roman" w:cs="Times New Roman"/>
          <w:sz w:val="24"/>
          <w:szCs w:val="24"/>
          <w:lang w:val="en-US"/>
        </w:rPr>
        <w:t xml:space="preserve">the </w:t>
      </w:r>
      <w:r w:rsidR="00565AE2">
        <w:rPr>
          <w:rFonts w:ascii="Times New Roman" w:hAnsi="Times New Roman" w:cs="Times New Roman"/>
          <w:sz w:val="24"/>
          <w:szCs w:val="24"/>
          <w:lang w:val="en-US"/>
        </w:rPr>
        <w:t>embedded state</w:t>
      </w:r>
      <w:r w:rsidR="00FA668D">
        <w:rPr>
          <w:rFonts w:ascii="Times New Roman" w:hAnsi="Times New Roman" w:cs="Times New Roman"/>
          <w:sz w:val="24"/>
          <w:szCs w:val="24"/>
          <w:lang w:val="en-US"/>
        </w:rPr>
        <w:t xml:space="preserve"> for govern</w:t>
      </w:r>
      <w:r w:rsidR="00C23C63">
        <w:rPr>
          <w:rFonts w:ascii="Times New Roman" w:hAnsi="Times New Roman" w:cs="Times New Roman"/>
          <w:sz w:val="24"/>
          <w:szCs w:val="24"/>
          <w:lang w:val="en-US"/>
        </w:rPr>
        <w:t>ing</w:t>
      </w:r>
      <w:r w:rsidR="00FA668D">
        <w:rPr>
          <w:rFonts w:ascii="Times New Roman" w:hAnsi="Times New Roman" w:cs="Times New Roman"/>
          <w:sz w:val="24"/>
          <w:szCs w:val="24"/>
          <w:lang w:val="en-US"/>
        </w:rPr>
        <w:t xml:space="preserve"> </w:t>
      </w:r>
      <w:r w:rsidR="00C23C63">
        <w:rPr>
          <w:rFonts w:ascii="Times New Roman" w:hAnsi="Times New Roman" w:cs="Times New Roman"/>
          <w:sz w:val="24"/>
          <w:szCs w:val="24"/>
          <w:lang w:val="en-US"/>
        </w:rPr>
        <w:t>system innovation</w:t>
      </w:r>
      <w:r w:rsidR="00565AE2">
        <w:rPr>
          <w:rFonts w:ascii="Times New Roman" w:hAnsi="Times New Roman" w:cs="Times New Roman"/>
          <w:sz w:val="24"/>
          <w:szCs w:val="24"/>
          <w:lang w:val="en-US"/>
        </w:rPr>
        <w:t>.</w:t>
      </w:r>
      <w:r w:rsidR="00647B55">
        <w:rPr>
          <w:rFonts w:ascii="Times New Roman" w:hAnsi="Times New Roman" w:cs="Times New Roman"/>
          <w:sz w:val="24"/>
          <w:szCs w:val="24"/>
          <w:lang w:val="en-US"/>
        </w:rPr>
        <w:t xml:space="preserve"> </w:t>
      </w:r>
      <w:r w:rsidR="00340E85">
        <w:rPr>
          <w:rFonts w:ascii="Times New Roman" w:hAnsi="Times New Roman" w:cs="Times New Roman"/>
          <w:sz w:val="24"/>
          <w:szCs w:val="24"/>
          <w:lang w:val="en-US"/>
        </w:rPr>
        <w:t>The concept is appealing</w:t>
      </w:r>
      <w:r w:rsidR="00647B55">
        <w:rPr>
          <w:rFonts w:ascii="Times New Roman" w:hAnsi="Times New Roman" w:cs="Times New Roman"/>
          <w:sz w:val="24"/>
          <w:szCs w:val="24"/>
          <w:lang w:val="en-US"/>
        </w:rPr>
        <w:t>, with its attempt to address the decades-</w:t>
      </w:r>
      <w:r w:rsidR="00647B55">
        <w:rPr>
          <w:rFonts w:ascii="Times New Roman" w:hAnsi="Times New Roman" w:cs="Times New Roman"/>
          <w:sz w:val="24"/>
          <w:szCs w:val="24"/>
          <w:lang w:val="en-US"/>
        </w:rPr>
        <w:lastRenderedPageBreak/>
        <w:t>old debate between government and market failure</w:t>
      </w:r>
      <w:r w:rsidR="005961ED">
        <w:rPr>
          <w:rFonts w:ascii="Times New Roman" w:hAnsi="Times New Roman" w:cs="Times New Roman"/>
          <w:sz w:val="24"/>
          <w:szCs w:val="24"/>
          <w:lang w:val="en-US"/>
        </w:rPr>
        <w:t>s by suggesting a networked and reflexive approach to policy making</w:t>
      </w:r>
      <w:r w:rsidR="00D57554">
        <w:rPr>
          <w:rFonts w:ascii="Times New Roman" w:hAnsi="Times New Roman" w:cs="Times New Roman"/>
          <w:sz w:val="24"/>
          <w:szCs w:val="24"/>
          <w:lang w:val="en-US"/>
        </w:rPr>
        <w:t xml:space="preserve"> (Hausmann and Rodrik 2003)</w:t>
      </w:r>
      <w:r w:rsidR="005961ED">
        <w:rPr>
          <w:rFonts w:ascii="Times New Roman" w:hAnsi="Times New Roman" w:cs="Times New Roman"/>
          <w:sz w:val="24"/>
          <w:szCs w:val="24"/>
          <w:lang w:val="en-US"/>
        </w:rPr>
        <w:t>. But in doing so it sidesteps important elements of state theory, namely the inherent tensions between different levels of government and between government and outside influences. Though coordination and reflexivity are possible</w:t>
      </w:r>
      <w:r w:rsidR="00D51E00">
        <w:rPr>
          <w:rFonts w:ascii="Times New Roman" w:hAnsi="Times New Roman" w:cs="Times New Roman"/>
          <w:sz w:val="24"/>
          <w:szCs w:val="24"/>
          <w:lang w:val="en-US"/>
        </w:rPr>
        <w:t xml:space="preserve"> and needed elements</w:t>
      </w:r>
      <w:r w:rsidR="005961ED">
        <w:rPr>
          <w:rFonts w:ascii="Times New Roman" w:hAnsi="Times New Roman" w:cs="Times New Roman"/>
          <w:sz w:val="24"/>
          <w:szCs w:val="24"/>
          <w:lang w:val="en-US"/>
        </w:rPr>
        <w:t xml:space="preserve"> in policy-making, it should not be ignored that competition, biases or conflicting interests are also at its core, and will influence outcomes</w:t>
      </w:r>
      <w:r w:rsidR="00D57554">
        <w:rPr>
          <w:rFonts w:ascii="Times New Roman" w:hAnsi="Times New Roman" w:cs="Times New Roman"/>
          <w:sz w:val="24"/>
          <w:szCs w:val="24"/>
          <w:lang w:val="en-US"/>
        </w:rPr>
        <w:t xml:space="preserve"> (Sabatier 1999)</w:t>
      </w:r>
      <w:r w:rsidR="005961ED">
        <w:rPr>
          <w:rFonts w:ascii="Times New Roman" w:hAnsi="Times New Roman" w:cs="Times New Roman"/>
          <w:sz w:val="24"/>
          <w:szCs w:val="24"/>
          <w:lang w:val="en-US"/>
        </w:rPr>
        <w:t xml:space="preserve">. This is particularly the case when conflicts emerge between well-established agents and institutions of </w:t>
      </w:r>
      <w:r w:rsidR="00143FEA">
        <w:rPr>
          <w:rFonts w:ascii="Times New Roman" w:hAnsi="Times New Roman" w:cs="Times New Roman"/>
          <w:sz w:val="24"/>
          <w:szCs w:val="24"/>
          <w:lang w:val="en-US"/>
        </w:rPr>
        <w:t xml:space="preserve">an </w:t>
      </w:r>
      <w:r w:rsidR="005961ED">
        <w:rPr>
          <w:rFonts w:ascii="Times New Roman" w:hAnsi="Times New Roman" w:cs="Times New Roman"/>
          <w:sz w:val="24"/>
          <w:szCs w:val="24"/>
          <w:lang w:val="en-US"/>
        </w:rPr>
        <w:t>existing regime</w:t>
      </w:r>
      <w:r w:rsidR="00143FEA">
        <w:rPr>
          <w:rFonts w:ascii="Times New Roman" w:hAnsi="Times New Roman" w:cs="Times New Roman"/>
          <w:sz w:val="24"/>
          <w:szCs w:val="24"/>
          <w:lang w:val="en-US"/>
        </w:rPr>
        <w:t>,</w:t>
      </w:r>
      <w:r w:rsidR="005961ED">
        <w:rPr>
          <w:rFonts w:ascii="Times New Roman" w:hAnsi="Times New Roman" w:cs="Times New Roman"/>
          <w:sz w:val="24"/>
          <w:szCs w:val="24"/>
          <w:lang w:val="en-US"/>
        </w:rPr>
        <w:t xml:space="preserve"> and niche solutions whose efficacy remains relatively untested and which involve a combination of new technical, social, </w:t>
      </w:r>
      <w:r w:rsidR="000A3C2C">
        <w:rPr>
          <w:rFonts w:ascii="Times New Roman" w:hAnsi="Times New Roman" w:cs="Times New Roman"/>
          <w:sz w:val="24"/>
          <w:szCs w:val="24"/>
          <w:lang w:val="en-US"/>
        </w:rPr>
        <w:t>organizational</w:t>
      </w:r>
      <w:r w:rsidR="005961ED">
        <w:rPr>
          <w:rFonts w:ascii="Times New Roman" w:hAnsi="Times New Roman" w:cs="Times New Roman"/>
          <w:sz w:val="24"/>
          <w:szCs w:val="24"/>
          <w:lang w:val="en-US"/>
        </w:rPr>
        <w:t xml:space="preserve"> and institutional solutions. </w:t>
      </w:r>
    </w:p>
    <w:p w14:paraId="6A7854A3" w14:textId="0B19DBB0" w:rsidR="00340E85" w:rsidRPr="00340E85" w:rsidRDefault="00340E85" w:rsidP="00340E85">
      <w:pPr>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AB780D">
        <w:rPr>
          <w:rFonts w:ascii="Times New Roman" w:hAnsi="Times New Roman" w:cs="Times New Roman"/>
          <w:sz w:val="24"/>
          <w:szCs w:val="24"/>
          <w:lang w:val="en-US"/>
        </w:rPr>
        <w:t xml:space="preserve">e use of the concept of the </w:t>
      </w:r>
      <w:r>
        <w:rPr>
          <w:rFonts w:ascii="Times New Roman" w:hAnsi="Times New Roman" w:cs="Times New Roman"/>
          <w:sz w:val="24"/>
          <w:szCs w:val="24"/>
          <w:lang w:val="en-US"/>
        </w:rPr>
        <w:t>embe</w:t>
      </w:r>
      <w:r w:rsidR="00EF520C">
        <w:rPr>
          <w:rFonts w:ascii="Times New Roman" w:hAnsi="Times New Roman" w:cs="Times New Roman"/>
          <w:sz w:val="24"/>
          <w:szCs w:val="24"/>
          <w:lang w:val="en-US"/>
        </w:rPr>
        <w:t>dd</w:t>
      </w:r>
      <w:r>
        <w:rPr>
          <w:rFonts w:ascii="Times New Roman" w:hAnsi="Times New Roman" w:cs="Times New Roman"/>
          <w:sz w:val="24"/>
          <w:szCs w:val="24"/>
          <w:lang w:val="en-US"/>
        </w:rPr>
        <w:t>ed state in a normative sense</w:t>
      </w:r>
      <w:r w:rsidR="00AB780D">
        <w:rPr>
          <w:rFonts w:ascii="Times New Roman" w:hAnsi="Times New Roman" w:cs="Times New Roman"/>
          <w:sz w:val="24"/>
          <w:szCs w:val="24"/>
          <w:lang w:val="en-US"/>
        </w:rPr>
        <w:t xml:space="preserve"> is even more problematic</w:t>
      </w:r>
      <w:r>
        <w:rPr>
          <w:rFonts w:ascii="Times New Roman" w:hAnsi="Times New Roman" w:cs="Times New Roman"/>
          <w:sz w:val="24"/>
          <w:szCs w:val="24"/>
          <w:lang w:val="en-US"/>
        </w:rPr>
        <w:t>. The work of Hausmann and Rodrik (2003)</w:t>
      </w:r>
      <w:r w:rsidR="00E83D4F">
        <w:rPr>
          <w:rFonts w:ascii="Times New Roman" w:hAnsi="Times New Roman" w:cs="Times New Roman"/>
          <w:sz w:val="24"/>
          <w:szCs w:val="24"/>
          <w:lang w:val="en-US"/>
        </w:rPr>
        <w:t xml:space="preserve"> does corroborate the importance of the state in initiating cycles of technological progress and growth, but these authors are mostly referring to policies which aim to generate incentives</w:t>
      </w:r>
      <w:r w:rsidR="00390491">
        <w:rPr>
          <w:rFonts w:ascii="Times New Roman" w:hAnsi="Times New Roman" w:cs="Times New Roman"/>
          <w:sz w:val="24"/>
          <w:szCs w:val="24"/>
          <w:lang w:val="en-US"/>
        </w:rPr>
        <w:t xml:space="preserve"> to investment</w:t>
      </w:r>
      <w:r w:rsidR="00E83D4F">
        <w:rPr>
          <w:rFonts w:ascii="Times New Roman" w:hAnsi="Times New Roman" w:cs="Times New Roman"/>
          <w:sz w:val="24"/>
          <w:szCs w:val="24"/>
          <w:lang w:val="en-US"/>
        </w:rPr>
        <w:t xml:space="preserve"> (</w:t>
      </w:r>
      <w:r w:rsidR="000A4C32">
        <w:rPr>
          <w:rFonts w:ascii="Times New Roman" w:hAnsi="Times New Roman" w:cs="Times New Roman"/>
          <w:sz w:val="24"/>
          <w:szCs w:val="24"/>
          <w:lang w:val="en-US"/>
        </w:rPr>
        <w:t xml:space="preserve">e.g. </w:t>
      </w:r>
      <w:r w:rsidR="00E83D4F">
        <w:rPr>
          <w:rFonts w:ascii="Times New Roman" w:hAnsi="Times New Roman" w:cs="Times New Roman"/>
          <w:sz w:val="24"/>
          <w:szCs w:val="24"/>
          <w:lang w:val="en-US"/>
        </w:rPr>
        <w:t>subsidies or trade tariffs). However</w:t>
      </w:r>
      <w:r w:rsidR="000A4C32">
        <w:rPr>
          <w:rFonts w:ascii="Times New Roman" w:hAnsi="Times New Roman" w:cs="Times New Roman"/>
          <w:sz w:val="24"/>
          <w:szCs w:val="24"/>
          <w:lang w:val="en-US"/>
        </w:rPr>
        <w:t>,</w:t>
      </w:r>
      <w:r w:rsidR="00E83D4F">
        <w:rPr>
          <w:rFonts w:ascii="Times New Roman" w:hAnsi="Times New Roman" w:cs="Times New Roman"/>
          <w:sz w:val="24"/>
          <w:szCs w:val="24"/>
          <w:lang w:val="en-US"/>
        </w:rPr>
        <w:t xml:space="preserve"> the concept of the embedded state which is found in current innovation policies at the EU level (Morgan 2016) anticipates a far more activist state, capable of creating and animating networks,</w:t>
      </w:r>
      <w:r w:rsidR="008E6E69">
        <w:rPr>
          <w:rFonts w:ascii="Times New Roman" w:hAnsi="Times New Roman" w:cs="Times New Roman"/>
          <w:sz w:val="24"/>
          <w:szCs w:val="24"/>
          <w:lang w:val="en-US"/>
        </w:rPr>
        <w:t xml:space="preserve"> helping to decide </w:t>
      </w:r>
      <w:r w:rsidR="00E83D4F">
        <w:rPr>
          <w:rFonts w:ascii="Times New Roman" w:hAnsi="Times New Roman" w:cs="Times New Roman"/>
          <w:sz w:val="24"/>
          <w:szCs w:val="24"/>
          <w:lang w:val="en-US"/>
        </w:rPr>
        <w:t xml:space="preserve">on strategic investments and finding a balance between centralized decision-making and decentralized action. This is a far more demanding set of tasks and </w:t>
      </w:r>
      <w:r w:rsidR="00C64CF1">
        <w:rPr>
          <w:rFonts w:ascii="Times New Roman" w:hAnsi="Times New Roman" w:cs="Times New Roman"/>
          <w:sz w:val="24"/>
          <w:szCs w:val="24"/>
          <w:lang w:val="en-US"/>
        </w:rPr>
        <w:t xml:space="preserve">there is </w:t>
      </w:r>
      <w:r w:rsidR="00E83D4F">
        <w:rPr>
          <w:rFonts w:ascii="Times New Roman" w:hAnsi="Times New Roman" w:cs="Times New Roman"/>
          <w:sz w:val="24"/>
          <w:szCs w:val="24"/>
          <w:lang w:val="en-US"/>
        </w:rPr>
        <w:t>not sufficient evidence to suggest that it can be done. This normative view also does not address issues of accountability and transparency in policy making</w:t>
      </w:r>
      <w:r w:rsidR="008E6E69">
        <w:rPr>
          <w:rFonts w:ascii="Times New Roman" w:hAnsi="Times New Roman" w:cs="Times New Roman"/>
          <w:sz w:val="24"/>
          <w:szCs w:val="24"/>
          <w:lang w:val="en-US"/>
        </w:rPr>
        <w:t xml:space="preserve"> (Bovens 2007)</w:t>
      </w:r>
      <w:r w:rsidR="00E83D4F">
        <w:rPr>
          <w:rFonts w:ascii="Times New Roman" w:hAnsi="Times New Roman" w:cs="Times New Roman"/>
          <w:sz w:val="24"/>
          <w:szCs w:val="24"/>
          <w:lang w:val="en-US"/>
        </w:rPr>
        <w:t xml:space="preserve">. For example, how can one distinguish a priori </w:t>
      </w:r>
      <w:r w:rsidRPr="00340E85">
        <w:rPr>
          <w:rFonts w:ascii="Times New Roman" w:hAnsi="Times New Roman" w:cs="Times New Roman"/>
          <w:sz w:val="24"/>
          <w:szCs w:val="24"/>
          <w:lang w:val="en-US"/>
        </w:rPr>
        <w:t>nurturing and shielding</w:t>
      </w:r>
      <w:r w:rsidR="00E83D4F">
        <w:rPr>
          <w:rFonts w:ascii="Times New Roman" w:hAnsi="Times New Roman" w:cs="Times New Roman"/>
          <w:sz w:val="24"/>
          <w:szCs w:val="24"/>
          <w:lang w:val="en-US"/>
        </w:rPr>
        <w:t xml:space="preserve"> practices which facilitate</w:t>
      </w:r>
      <w:r w:rsidRPr="00340E85">
        <w:rPr>
          <w:rFonts w:ascii="Times New Roman" w:hAnsi="Times New Roman" w:cs="Times New Roman"/>
          <w:sz w:val="24"/>
          <w:szCs w:val="24"/>
          <w:lang w:val="en-US"/>
        </w:rPr>
        <w:t xml:space="preserve"> the developmen</w:t>
      </w:r>
      <w:r w:rsidR="00E83D4F">
        <w:rPr>
          <w:rFonts w:ascii="Times New Roman" w:hAnsi="Times New Roman" w:cs="Times New Roman"/>
          <w:sz w:val="24"/>
          <w:szCs w:val="24"/>
          <w:lang w:val="en-US"/>
        </w:rPr>
        <w:t>t of essential technologies, from those which are deployed</w:t>
      </w:r>
      <w:r w:rsidRPr="00340E85">
        <w:rPr>
          <w:rFonts w:ascii="Times New Roman" w:hAnsi="Times New Roman" w:cs="Times New Roman"/>
          <w:sz w:val="24"/>
          <w:szCs w:val="24"/>
          <w:lang w:val="en-US"/>
        </w:rPr>
        <w:t xml:space="preserve"> to protect special interests? </w:t>
      </w:r>
    </w:p>
    <w:p w14:paraId="1F0B56EF" w14:textId="2BCD93CC" w:rsidR="005961ED" w:rsidRDefault="00D12753" w:rsidP="006A4FD5">
      <w:pPr>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limitations raise issues for future research. </w:t>
      </w:r>
      <w:r w:rsidR="00E83D4F">
        <w:rPr>
          <w:rFonts w:ascii="Times New Roman" w:hAnsi="Times New Roman" w:cs="Times New Roman"/>
          <w:sz w:val="24"/>
          <w:szCs w:val="24"/>
          <w:lang w:val="en-US"/>
        </w:rPr>
        <w:t>Closer attention needs to be paid to</w:t>
      </w:r>
      <w:r>
        <w:rPr>
          <w:rFonts w:ascii="Times New Roman" w:hAnsi="Times New Roman" w:cs="Times New Roman"/>
          <w:sz w:val="24"/>
          <w:szCs w:val="24"/>
          <w:lang w:val="en-US"/>
        </w:rPr>
        <w:t xml:space="preserve"> experimental governance, as illustrated in this paper. </w:t>
      </w:r>
      <w:r w:rsidR="00E83D4F">
        <w:rPr>
          <w:rFonts w:ascii="Times New Roman" w:hAnsi="Times New Roman" w:cs="Times New Roman"/>
          <w:sz w:val="24"/>
          <w:szCs w:val="24"/>
          <w:lang w:val="en-US"/>
        </w:rPr>
        <w:t>Th</w:t>
      </w:r>
      <w:r>
        <w:rPr>
          <w:rFonts w:ascii="Times New Roman" w:hAnsi="Times New Roman" w:cs="Times New Roman"/>
          <w:sz w:val="24"/>
          <w:szCs w:val="24"/>
          <w:lang w:val="en-US"/>
        </w:rPr>
        <w:t>ere is a need</w:t>
      </w:r>
      <w:r w:rsidRPr="00D127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w:t>
      </w:r>
      <w:r w:rsidRPr="00D12753">
        <w:rPr>
          <w:rFonts w:ascii="Times New Roman" w:hAnsi="Times New Roman" w:cs="Times New Roman"/>
          <w:sz w:val="24"/>
          <w:szCs w:val="24"/>
          <w:lang w:val="en-US"/>
        </w:rPr>
        <w:t xml:space="preserve">a finer understanding </w:t>
      </w:r>
      <w:r w:rsidRPr="00D12753">
        <w:rPr>
          <w:rFonts w:ascii="Times New Roman" w:hAnsi="Times New Roman" w:cs="Times New Roman"/>
          <w:sz w:val="24"/>
          <w:szCs w:val="24"/>
          <w:lang w:val="en-US"/>
        </w:rPr>
        <w:lastRenderedPageBreak/>
        <w:t xml:space="preserve">as to how local projects can be </w:t>
      </w:r>
      <w:r>
        <w:rPr>
          <w:rFonts w:ascii="Times New Roman" w:hAnsi="Times New Roman" w:cs="Times New Roman"/>
          <w:sz w:val="24"/>
          <w:szCs w:val="24"/>
          <w:lang w:val="en-US"/>
        </w:rPr>
        <w:t>amplified</w:t>
      </w:r>
      <w:r w:rsidRPr="00D12753">
        <w:rPr>
          <w:rFonts w:ascii="Times New Roman" w:hAnsi="Times New Roman" w:cs="Times New Roman"/>
          <w:sz w:val="24"/>
          <w:szCs w:val="24"/>
          <w:lang w:val="en-US"/>
        </w:rPr>
        <w:t xml:space="preserve"> beyond their local domain to </w:t>
      </w:r>
      <w:r w:rsidR="00EA590C">
        <w:rPr>
          <w:rFonts w:ascii="Times New Roman" w:hAnsi="Times New Roman" w:cs="Times New Roman"/>
          <w:sz w:val="24"/>
          <w:szCs w:val="24"/>
          <w:lang w:val="en-US"/>
        </w:rPr>
        <w:t>address and</w:t>
      </w:r>
      <w:r>
        <w:rPr>
          <w:rFonts w:ascii="Times New Roman" w:hAnsi="Times New Roman" w:cs="Times New Roman"/>
          <w:sz w:val="24"/>
          <w:szCs w:val="24"/>
          <w:lang w:val="en-US"/>
        </w:rPr>
        <w:t xml:space="preserve"> tackle grand challenges</w:t>
      </w:r>
      <w:r w:rsidR="005A7BD3">
        <w:rPr>
          <w:rFonts w:ascii="Times New Roman" w:hAnsi="Times New Roman" w:cs="Times New Roman"/>
          <w:sz w:val="24"/>
          <w:szCs w:val="24"/>
          <w:lang w:val="en-US"/>
        </w:rPr>
        <w:t xml:space="preserve"> at </w:t>
      </w:r>
      <w:r w:rsidR="00FE6EC2">
        <w:rPr>
          <w:rFonts w:ascii="Times New Roman" w:hAnsi="Times New Roman" w:cs="Times New Roman"/>
          <w:sz w:val="24"/>
          <w:szCs w:val="24"/>
          <w:lang w:val="en-US"/>
        </w:rPr>
        <w:t xml:space="preserve">the </w:t>
      </w:r>
      <w:r w:rsidR="005A7BD3">
        <w:rPr>
          <w:rFonts w:ascii="Times New Roman" w:hAnsi="Times New Roman" w:cs="Times New Roman"/>
          <w:sz w:val="24"/>
          <w:szCs w:val="24"/>
          <w:lang w:val="en-US"/>
        </w:rPr>
        <w:t>system level</w:t>
      </w:r>
      <w:r>
        <w:rPr>
          <w:rFonts w:ascii="Times New Roman" w:hAnsi="Times New Roman" w:cs="Times New Roman"/>
          <w:sz w:val="24"/>
          <w:szCs w:val="24"/>
          <w:lang w:val="en-US"/>
        </w:rPr>
        <w:t>. A potentially promising approach to address this question is through a</w:t>
      </w:r>
      <w:r w:rsidR="000C6674">
        <w:rPr>
          <w:rFonts w:ascii="Times New Roman" w:hAnsi="Times New Roman" w:cs="Times New Roman"/>
          <w:sz w:val="24"/>
          <w:szCs w:val="24"/>
          <w:lang w:val="en-US"/>
        </w:rPr>
        <w:t xml:space="preserve"> perspective of embedded agency. </w:t>
      </w:r>
      <w:r w:rsidR="005A7BD3">
        <w:rPr>
          <w:rFonts w:ascii="Times New Roman" w:hAnsi="Times New Roman" w:cs="Times New Roman"/>
          <w:sz w:val="24"/>
          <w:szCs w:val="24"/>
          <w:lang w:val="en-US"/>
        </w:rPr>
        <w:t xml:space="preserve">Such an approach </w:t>
      </w:r>
      <w:r w:rsidR="000C6674">
        <w:rPr>
          <w:rFonts w:ascii="Times New Roman" w:hAnsi="Times New Roman" w:cs="Times New Roman"/>
          <w:sz w:val="24"/>
          <w:szCs w:val="24"/>
          <w:lang w:val="en-US"/>
        </w:rPr>
        <w:t>would help</w:t>
      </w:r>
      <w:r>
        <w:rPr>
          <w:rFonts w:ascii="Times New Roman" w:hAnsi="Times New Roman" w:cs="Times New Roman"/>
          <w:sz w:val="24"/>
          <w:szCs w:val="24"/>
          <w:lang w:val="en-US"/>
        </w:rPr>
        <w:t xml:space="preserve"> to investigate how place-based projects of experimental governance </w:t>
      </w:r>
      <w:r w:rsidR="005A7BD3">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socio-technical </w:t>
      </w:r>
      <w:r w:rsidR="005A7BD3">
        <w:rPr>
          <w:rFonts w:ascii="Times New Roman" w:hAnsi="Times New Roman" w:cs="Times New Roman"/>
          <w:sz w:val="24"/>
          <w:szCs w:val="24"/>
          <w:lang w:val="en-US"/>
        </w:rPr>
        <w:t xml:space="preserve">transitions </w:t>
      </w:r>
      <w:r w:rsidR="000C6674">
        <w:rPr>
          <w:rFonts w:ascii="Times New Roman" w:hAnsi="Times New Roman" w:cs="Times New Roman"/>
          <w:sz w:val="24"/>
          <w:szCs w:val="24"/>
          <w:lang w:val="en-US"/>
        </w:rPr>
        <w:t xml:space="preserve">become vehicles of institutional entrepreneurship. This would require more comparative research </w:t>
      </w:r>
      <w:r w:rsidR="005A7BD3">
        <w:rPr>
          <w:rFonts w:ascii="Times New Roman" w:hAnsi="Times New Roman" w:cs="Times New Roman"/>
          <w:sz w:val="24"/>
          <w:szCs w:val="24"/>
          <w:lang w:val="en-US"/>
        </w:rPr>
        <w:t xml:space="preserve">of experimental governance </w:t>
      </w:r>
      <w:r w:rsidR="000C6674">
        <w:rPr>
          <w:rFonts w:ascii="Times New Roman" w:hAnsi="Times New Roman" w:cs="Times New Roman"/>
          <w:sz w:val="24"/>
          <w:szCs w:val="24"/>
          <w:lang w:val="en-US"/>
        </w:rPr>
        <w:t xml:space="preserve">across different sectors, regions and nations. </w:t>
      </w:r>
      <w:r>
        <w:rPr>
          <w:rFonts w:ascii="Times New Roman" w:hAnsi="Times New Roman" w:cs="Times New Roman"/>
          <w:sz w:val="24"/>
          <w:szCs w:val="24"/>
          <w:lang w:val="en-US"/>
        </w:rPr>
        <w:t xml:space="preserve"> </w:t>
      </w:r>
    </w:p>
    <w:p w14:paraId="3FD00E9E" w14:textId="77777777" w:rsidR="00FE6EC2" w:rsidRDefault="00FE6EC2" w:rsidP="006A4FD5">
      <w:pPr>
        <w:spacing w:after="240" w:line="480" w:lineRule="auto"/>
        <w:jc w:val="both"/>
        <w:rPr>
          <w:rFonts w:ascii="Times New Roman" w:hAnsi="Times New Roman" w:cs="Times New Roman"/>
          <w:sz w:val="24"/>
          <w:szCs w:val="24"/>
          <w:lang w:val="en-US"/>
        </w:rPr>
      </w:pPr>
    </w:p>
    <w:p w14:paraId="05BD313F" w14:textId="77777777" w:rsidR="00FE6EC2" w:rsidRPr="00FE6EC2" w:rsidRDefault="00FE6EC2" w:rsidP="00FE6EC2">
      <w:pPr>
        <w:spacing w:after="120" w:line="360" w:lineRule="auto"/>
        <w:rPr>
          <w:rFonts w:ascii="Times New Roman" w:hAnsi="Times New Roman" w:cs="Times New Roman"/>
          <w:b/>
          <w:sz w:val="24"/>
          <w:szCs w:val="24"/>
          <w:lang w:val="en-US"/>
        </w:rPr>
      </w:pPr>
      <w:r w:rsidRPr="00FE6EC2">
        <w:rPr>
          <w:rFonts w:ascii="Times New Roman" w:hAnsi="Times New Roman" w:cs="Times New Roman"/>
          <w:b/>
          <w:sz w:val="24"/>
          <w:szCs w:val="24"/>
          <w:lang w:val="en-US"/>
        </w:rPr>
        <w:t>Acknowledgements</w:t>
      </w:r>
    </w:p>
    <w:p w14:paraId="4616FA34" w14:textId="77777777" w:rsidR="00FE6EC2" w:rsidRDefault="00FE6EC2" w:rsidP="00FE6EC2">
      <w:pPr>
        <w:spacing w:after="120" w:line="360" w:lineRule="auto"/>
        <w:rPr>
          <w:rFonts w:ascii="Times New Roman" w:hAnsi="Times New Roman" w:cs="Times New Roman"/>
          <w:sz w:val="24"/>
          <w:szCs w:val="24"/>
          <w:lang w:val="en-US"/>
        </w:rPr>
      </w:pPr>
      <w:r w:rsidRPr="00FE6EC2">
        <w:rPr>
          <w:rFonts w:ascii="Times New Roman" w:hAnsi="Times New Roman" w:cs="Times New Roman"/>
          <w:sz w:val="24"/>
          <w:szCs w:val="24"/>
          <w:lang w:val="en-US"/>
        </w:rPr>
        <w:t>The authors would like to acknowledge the insightful feedback from participants at the 2015 Annual Conference of the EU-SPRI Forum.</w:t>
      </w:r>
    </w:p>
    <w:p w14:paraId="7A897F31" w14:textId="77777777" w:rsidR="00FE6EC2" w:rsidRDefault="00FE6EC2" w:rsidP="00FE6EC2">
      <w:pPr>
        <w:spacing w:after="120" w:line="360" w:lineRule="auto"/>
        <w:rPr>
          <w:rFonts w:ascii="Times New Roman" w:hAnsi="Times New Roman" w:cs="Times New Roman"/>
          <w:sz w:val="24"/>
          <w:szCs w:val="24"/>
          <w:lang w:val="en-US"/>
        </w:rPr>
      </w:pPr>
    </w:p>
    <w:p w14:paraId="07E186FF" w14:textId="77777777" w:rsidR="00FE6EC2" w:rsidRPr="00FE6EC2" w:rsidRDefault="00FE6EC2" w:rsidP="00FE6EC2">
      <w:pPr>
        <w:spacing w:after="120" w:line="360" w:lineRule="auto"/>
        <w:rPr>
          <w:rFonts w:ascii="Times New Roman" w:hAnsi="Times New Roman" w:cs="Times New Roman"/>
          <w:b/>
          <w:sz w:val="24"/>
          <w:szCs w:val="24"/>
          <w:lang w:val="en-US"/>
        </w:rPr>
      </w:pPr>
      <w:r w:rsidRPr="00FE6EC2">
        <w:rPr>
          <w:rFonts w:ascii="Times New Roman" w:hAnsi="Times New Roman" w:cs="Times New Roman"/>
          <w:b/>
          <w:sz w:val="24"/>
          <w:szCs w:val="24"/>
          <w:lang w:val="en-US"/>
        </w:rPr>
        <w:t>Funding</w:t>
      </w:r>
    </w:p>
    <w:p w14:paraId="7204926A" w14:textId="77777777" w:rsidR="00FE6EC2" w:rsidRDefault="00FE6EC2" w:rsidP="00FE6EC2">
      <w:pPr>
        <w:spacing w:after="120" w:line="360" w:lineRule="auto"/>
        <w:rPr>
          <w:rFonts w:ascii="Times New Roman" w:hAnsi="Times New Roman" w:cs="Times New Roman"/>
          <w:sz w:val="24"/>
          <w:szCs w:val="24"/>
          <w:lang w:val="en-US"/>
        </w:rPr>
      </w:pPr>
      <w:r w:rsidRPr="00FE6EC2">
        <w:rPr>
          <w:rFonts w:ascii="Times New Roman" w:hAnsi="Times New Roman" w:cs="Times New Roman"/>
          <w:sz w:val="24"/>
          <w:szCs w:val="24"/>
          <w:lang w:val="en-US"/>
        </w:rPr>
        <w:t>This project has received funding from the European Union’s Seventh Framework Programme for research, technological development and demonstration under grant agreement no 320131 (SmartSpec).</w:t>
      </w:r>
    </w:p>
    <w:p w14:paraId="302FDE9C" w14:textId="77777777" w:rsidR="00FE6EC2" w:rsidRDefault="00FE6EC2" w:rsidP="006A4FD5">
      <w:pPr>
        <w:spacing w:after="240" w:line="480" w:lineRule="auto"/>
        <w:jc w:val="both"/>
        <w:rPr>
          <w:rFonts w:ascii="Times New Roman" w:hAnsi="Times New Roman" w:cs="Times New Roman"/>
          <w:sz w:val="24"/>
          <w:szCs w:val="24"/>
          <w:lang w:val="en-US"/>
        </w:rPr>
      </w:pPr>
    </w:p>
    <w:p w14:paraId="1C244290" w14:textId="77777777" w:rsidR="00F95DA6" w:rsidRDefault="00F95DA6" w:rsidP="00DA712E">
      <w:pPr>
        <w:pStyle w:val="Heading2"/>
        <w:rPr>
          <w:lang w:val="en-US"/>
        </w:rPr>
      </w:pPr>
      <w:r w:rsidRPr="00F95DA6">
        <w:rPr>
          <w:lang w:val="en-US"/>
        </w:rPr>
        <w:t>References</w:t>
      </w:r>
    </w:p>
    <w:p w14:paraId="2B8DEF33" w14:textId="29475244" w:rsid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 xml:space="preserve">Benner, M. (2014). From smart specialisation to smart experimentation. Zeitschrift Für Wirtschaftsgeographie, 58(1), 33–49. </w:t>
      </w:r>
    </w:p>
    <w:p w14:paraId="302BCBB4" w14:textId="1765DE11" w:rsidR="008E6E69" w:rsidRPr="00277ECE" w:rsidRDefault="008E6E69" w:rsidP="00277ECE">
      <w:pPr>
        <w:spacing w:after="240" w:line="480" w:lineRule="auto"/>
        <w:jc w:val="both"/>
        <w:rPr>
          <w:rFonts w:ascii="Times New Roman" w:hAnsi="Times New Roman" w:cs="Times New Roman"/>
          <w:sz w:val="24"/>
          <w:szCs w:val="24"/>
          <w:lang w:val="en-US"/>
        </w:rPr>
      </w:pPr>
      <w:r w:rsidRPr="008E6E69">
        <w:rPr>
          <w:rFonts w:ascii="Times New Roman" w:hAnsi="Times New Roman" w:cs="Times New Roman"/>
          <w:sz w:val="24"/>
          <w:szCs w:val="24"/>
          <w:lang w:val="en-US"/>
        </w:rPr>
        <w:t xml:space="preserve">Bovens, M. (2007). Analysing and Assessing Accountability: A Conceptual Framework. European Law Journal, 13(4), 447–468. </w:t>
      </w:r>
    </w:p>
    <w:p w14:paraId="7F1E3950"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Bulkeley H, Broto VC and Edwards G. (2012) Bringing climate change to the city: towards low carbon urbanism? Local Environment 17: 545-551.</w:t>
      </w:r>
    </w:p>
    <w:p w14:paraId="45899E55"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lastRenderedPageBreak/>
        <w:t>Coenen L, Benneworth P and Truffer B. (2012) Toward a spatial perspective on sustainability transitions. Research Policy 41: 968-979.</w:t>
      </w:r>
    </w:p>
    <w:p w14:paraId="4B8C0EDA"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Coenen L, Raven R and Verbong G. (2010) Local niche experimentation in energy transitions: A theoretical and empirical exploration of proximity advantages and disadvantages. Technology in Society 32: 295-302.</w:t>
      </w:r>
    </w:p>
    <w:p w14:paraId="57229138"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 xml:space="preserve">Devlin, A. M., McGee-Lennon, M., O’Donnell, C. A., Bouamrane, M.-M., Agbakoba, R., O’Connor, S., Grieve, E., Finch, T., Wyke, S., Watson, N., Browne, S., Mair, F. (2016). Delivering digital health and well-being at scale: lessons learned during the implementation of the dallas program in the United Kingdom. Journal of the American Medical Informatics Association, 23(1), 48–59. </w:t>
      </w:r>
    </w:p>
    <w:p w14:paraId="6429EAE2"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DHACA (2016) Digital Health and Care Alliance. Available at: http://dhaca.org.uk/.</w:t>
      </w:r>
    </w:p>
    <w:p w14:paraId="3724BC44"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Evans, P. (1995). Embedded autonomy: states and industrial transformation. Princeton: Princeton University Press.</w:t>
      </w:r>
    </w:p>
    <w:p w14:paraId="17574037" w14:textId="77777777" w:rsid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Fukuyama, F. (2013). What Is Governance? (Working Paper 314). Center for Global Development, Washington D.C.</w:t>
      </w:r>
    </w:p>
    <w:p w14:paraId="09474AB6" w14:textId="77777777" w:rsidR="00EE18CD" w:rsidRPr="00277ECE" w:rsidRDefault="00EE18CD" w:rsidP="00277ECE">
      <w:pPr>
        <w:spacing w:after="240" w:line="480" w:lineRule="auto"/>
        <w:jc w:val="both"/>
        <w:rPr>
          <w:rFonts w:ascii="Times New Roman" w:hAnsi="Times New Roman" w:cs="Times New Roman"/>
          <w:sz w:val="24"/>
          <w:szCs w:val="24"/>
          <w:lang w:val="en-US"/>
        </w:rPr>
      </w:pPr>
      <w:r w:rsidRPr="00EE18CD">
        <w:rPr>
          <w:rFonts w:ascii="Times New Roman" w:hAnsi="Times New Roman" w:cs="Times New Roman"/>
          <w:sz w:val="24"/>
          <w:szCs w:val="24"/>
          <w:lang w:val="en-US"/>
        </w:rPr>
        <w:t>Geels, F.W. 2002. Technological transitions as evolutionary reconfiguration processes: a multi-level perspective and a case-study. Research Policy 31:1257-1274.</w:t>
      </w:r>
    </w:p>
    <w:p w14:paraId="0F09DB99"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Geels FW, Hekkert MP and Jacobsson S. (2008) The dynamics of sustainable innovation journeys. Technology Analysis &amp; Strategic Management 20: 521-536.</w:t>
      </w:r>
    </w:p>
    <w:p w14:paraId="083A27E5" w14:textId="77777777" w:rsidR="00277ECE" w:rsidRPr="00DA712E" w:rsidRDefault="00277ECE" w:rsidP="00277ECE">
      <w:pPr>
        <w:spacing w:after="240" w:line="480" w:lineRule="auto"/>
        <w:jc w:val="both"/>
        <w:rPr>
          <w:rFonts w:ascii="Times New Roman" w:hAnsi="Times New Roman" w:cs="Times New Roman"/>
          <w:sz w:val="24"/>
          <w:szCs w:val="24"/>
          <w:lang w:val="nb-NO"/>
        </w:rPr>
      </w:pPr>
      <w:r w:rsidRPr="00277ECE">
        <w:rPr>
          <w:rFonts w:ascii="Times New Roman" w:hAnsi="Times New Roman" w:cs="Times New Roman"/>
          <w:sz w:val="24"/>
          <w:szCs w:val="24"/>
          <w:lang w:val="en-US"/>
        </w:rPr>
        <w:t xml:space="preserve">Hausmann R and Rodrik D. (2003) Economic development as self-discovery. </w:t>
      </w:r>
      <w:r w:rsidRPr="00DA712E">
        <w:rPr>
          <w:rFonts w:ascii="Times New Roman" w:hAnsi="Times New Roman" w:cs="Times New Roman"/>
          <w:sz w:val="24"/>
          <w:szCs w:val="24"/>
          <w:lang w:val="nb-NO"/>
        </w:rPr>
        <w:t>Journal of Development Economics 72: 603-633.</w:t>
      </w:r>
    </w:p>
    <w:p w14:paraId="3A192F38" w14:textId="77777777" w:rsidR="00277ECE" w:rsidRPr="00DA712E" w:rsidRDefault="00277ECE" w:rsidP="00277ECE">
      <w:pPr>
        <w:spacing w:after="240" w:line="480" w:lineRule="auto"/>
        <w:jc w:val="both"/>
        <w:rPr>
          <w:rFonts w:ascii="Times New Roman" w:hAnsi="Times New Roman" w:cs="Times New Roman"/>
          <w:sz w:val="24"/>
          <w:szCs w:val="24"/>
          <w:lang w:val="nb-NO"/>
        </w:rPr>
      </w:pPr>
      <w:r w:rsidRPr="00DA712E">
        <w:rPr>
          <w:rFonts w:ascii="Times New Roman" w:hAnsi="Times New Roman" w:cs="Times New Roman"/>
          <w:sz w:val="24"/>
          <w:szCs w:val="24"/>
          <w:lang w:val="nb-NO"/>
        </w:rPr>
        <w:lastRenderedPageBreak/>
        <w:t>HelseOmsorg21. (2014) Et kunnskapssystem for bedre folkehelse. Nasjonal forsknings- og innovasjonsstrategi for helse og omsorg: Research Council of Norway.</w:t>
      </w:r>
    </w:p>
    <w:p w14:paraId="73354591"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Hirschman, A. (1958) The Strategy of Economic Development, Yale University Press, New Haven</w:t>
      </w:r>
    </w:p>
    <w:p w14:paraId="5DBABDCA"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Jacobsson, B., Pierre, J., &amp; Sundström, G. (2015). Governing the Embedded State: The organizational dimension of governance. Oxford: Oxford University Press.</w:t>
      </w:r>
    </w:p>
    <w:p w14:paraId="600FE0CC"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DA712E">
        <w:rPr>
          <w:rFonts w:ascii="Times New Roman" w:hAnsi="Times New Roman" w:cs="Times New Roman"/>
          <w:sz w:val="24"/>
          <w:szCs w:val="24"/>
        </w:rPr>
        <w:t xml:space="preserve">Jensen MB, Johnson B, Lorenz E, et al. </w:t>
      </w:r>
      <w:r w:rsidRPr="00277ECE">
        <w:rPr>
          <w:rFonts w:ascii="Times New Roman" w:hAnsi="Times New Roman" w:cs="Times New Roman"/>
          <w:sz w:val="24"/>
          <w:szCs w:val="24"/>
          <w:lang w:val="en-US"/>
        </w:rPr>
        <w:t>(2007) Forms of knowledge and modes of innovation. Research Policy 36: 680-693.</w:t>
      </w:r>
    </w:p>
    <w:p w14:paraId="5C2FD9F5"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Kemp R, Schot J and Hoogma R. (1998) Regime shifts to sustainability through processes of niche formation: The approach of strategic niche management. Technology Analysis &amp; Strategic Management 10: 175-198.</w:t>
      </w:r>
    </w:p>
    <w:p w14:paraId="77AA6F38"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Laranja M, Uyarra E and Flanagan K. (2008) Policies for science, technology and innovation: Translating rationales into regional policies in a multi-level setting. Research Policy 37: 823-835.</w:t>
      </w:r>
    </w:p>
    <w:p w14:paraId="6079A543"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Mace, A. (2014) Long-Term Care in the UK, Department for Business, Innovation and Skills, London</w:t>
      </w:r>
    </w:p>
    <w:p w14:paraId="35C5E72A"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Martin, B.R. (2015) Twenty Challenges for Innovation Studies. SPRU Working Paper Series SWPS 2015-30 (November), SPRU Science Policy Research Unit / University of Sussex.</w:t>
      </w:r>
    </w:p>
    <w:p w14:paraId="0441F859"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Meadowcroft J. (2011) Engaging with the politics of sustainability transitions. Environmental Innovation and Societal Transitions 1: 70-75.</w:t>
      </w:r>
    </w:p>
    <w:p w14:paraId="660B8629" w14:textId="403A7D49"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lastRenderedPageBreak/>
        <w:t xml:space="preserve">Morgan, K. (2016) Speaking Truth to Power: The Political Dynamics of Public Sector </w:t>
      </w:r>
      <w:r w:rsidR="00FE6EC2">
        <w:rPr>
          <w:rFonts w:ascii="Times New Roman" w:hAnsi="Times New Roman" w:cs="Times New Roman"/>
          <w:sz w:val="24"/>
          <w:szCs w:val="24"/>
          <w:lang w:val="en-US"/>
        </w:rPr>
        <w:t>Innovation, in D. Kyriakou,</w:t>
      </w:r>
      <w:r w:rsidR="00FE6EC2" w:rsidRPr="00FE6EC2">
        <w:t xml:space="preserve"> </w:t>
      </w:r>
      <w:r w:rsidR="00FE6EC2" w:rsidRPr="00FE6EC2">
        <w:rPr>
          <w:rFonts w:ascii="Times New Roman" w:hAnsi="Times New Roman" w:cs="Times New Roman"/>
          <w:sz w:val="24"/>
          <w:szCs w:val="24"/>
          <w:lang w:val="en-US"/>
        </w:rPr>
        <w:t>M. Palazue</w:t>
      </w:r>
      <w:r w:rsidR="00FE6EC2">
        <w:rPr>
          <w:rFonts w:ascii="Times New Roman" w:hAnsi="Times New Roman" w:cs="Times New Roman"/>
          <w:sz w:val="24"/>
          <w:szCs w:val="24"/>
          <w:lang w:val="en-US"/>
        </w:rPr>
        <w:t>los Martínez, I. Periáñez-Forte and</w:t>
      </w:r>
      <w:r w:rsidR="00FE6EC2" w:rsidRPr="00FE6EC2">
        <w:rPr>
          <w:rFonts w:ascii="Times New Roman" w:hAnsi="Times New Roman" w:cs="Times New Roman"/>
          <w:sz w:val="24"/>
          <w:szCs w:val="24"/>
          <w:lang w:val="en-US"/>
        </w:rPr>
        <w:t xml:space="preserve"> A. Rainoldi</w:t>
      </w:r>
      <w:r w:rsidR="00FE6EC2">
        <w:rPr>
          <w:rFonts w:ascii="Times New Roman" w:hAnsi="Times New Roman" w:cs="Times New Roman"/>
          <w:sz w:val="24"/>
          <w:szCs w:val="24"/>
          <w:lang w:val="en-US"/>
        </w:rPr>
        <w:t xml:space="preserve"> </w:t>
      </w:r>
      <w:r w:rsidRPr="00277ECE">
        <w:rPr>
          <w:rFonts w:ascii="Times New Roman" w:hAnsi="Times New Roman" w:cs="Times New Roman"/>
          <w:sz w:val="24"/>
          <w:szCs w:val="24"/>
          <w:lang w:val="en-US"/>
        </w:rPr>
        <w:t xml:space="preserve"> (eds) Governing Smart Specialisation, Routledge, Abingdon.</w:t>
      </w:r>
    </w:p>
    <w:p w14:paraId="6132D222"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OECD (2015) System Innovation: Synthesis Report, OECD, Paris</w:t>
      </w:r>
    </w:p>
    <w:p w14:paraId="75B45ECE"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Sabatier, P. A. (1999) Theories of the policy process. Theoretical lenses on public policy. Book, Boulder, Colo.: Westview Press.</w:t>
      </w:r>
    </w:p>
    <w:p w14:paraId="23A5F9BA" w14:textId="73C4F636"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Sabel, C. and J. Zeitlin (2012) Experimentalist Governance, in D. Levi-Faur (ed) The Oxford Handbook of Governance, Oxford University Press, Oxford</w:t>
      </w:r>
      <w:r w:rsidR="00FE6EC2">
        <w:rPr>
          <w:rFonts w:ascii="Times New Roman" w:hAnsi="Times New Roman" w:cs="Times New Roman"/>
          <w:sz w:val="24"/>
          <w:szCs w:val="24"/>
          <w:lang w:val="en-US"/>
        </w:rPr>
        <w:t xml:space="preserve">, p. </w:t>
      </w:r>
      <w:r w:rsidR="00FE6EC2" w:rsidRPr="00FE6EC2">
        <w:rPr>
          <w:rFonts w:ascii="Times New Roman" w:hAnsi="Times New Roman" w:cs="Times New Roman"/>
          <w:sz w:val="24"/>
          <w:szCs w:val="24"/>
          <w:lang w:val="en-US"/>
        </w:rPr>
        <w:t>p. 169-185</w:t>
      </w:r>
    </w:p>
    <w:p w14:paraId="316A15D6"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Schot J., Geels FW. (2008) Strategic niche management and sustainable innovation journeys: theory, findings, research agenda, and policy. Technology Analysis &amp; Strategic Management 20: 537-554.</w:t>
      </w:r>
    </w:p>
    <w:p w14:paraId="4DD46E3C"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Sengers, F., &amp; Raven, R. (2014) Metering motorbike mobility: informal transport in transition? Technology Analysis &amp; Strategic Management, 26(4), 453–468.</w:t>
      </w:r>
    </w:p>
    <w:p w14:paraId="6995D62D"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 xml:space="preserve">Seyfang, G., Smith, A (2007) Grassroots innovations for sustainable development, Environmental Politics, 16:4, pp. 584-603 </w:t>
      </w:r>
    </w:p>
    <w:p w14:paraId="34466925"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Shove, E., Walker, G. (2007) CAUTION! Transitions ahead: politics, practice, and sustainable transition management. Environment and Planning A 39:763-770.</w:t>
      </w:r>
    </w:p>
    <w:p w14:paraId="0C3C8065"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Smith, A., Voß, J-P., and Grin, J. (2010) Innovation studies and sustainability transitions: The allure of the multi-level perspective and its challenges. Research Policy 39: 435-448.</w:t>
      </w:r>
    </w:p>
    <w:p w14:paraId="08164EE7"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Smith A., Raven R. (2012) What is protective space? Reconsidering niches in transitions to sustainability. Research Policy 41: 1025-1036.</w:t>
      </w:r>
    </w:p>
    <w:p w14:paraId="0562D43F"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lastRenderedPageBreak/>
        <w:t>Steward F. (2012) Transformative innovation policy to meet the challenge of climate change: sociotechnical networks aligned with consumption and end-use as new transition arenas for a low-carbon society or green economy. Technology Analysis &amp; Strategic Management 24: 331-343.</w:t>
      </w:r>
    </w:p>
    <w:p w14:paraId="3B751EC6"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Tinker, A., Kellaher, L., Ginn, J. and Ribe, E. (2013) Assisted Living Platform – The Long Term Care Revolution, TSB, Swindon</w:t>
      </w:r>
    </w:p>
    <w:p w14:paraId="172A5A03" w14:textId="77777777" w:rsidR="00277ECE" w:rsidRPr="00277ECE" w:rsidRDefault="00277ECE" w:rsidP="00277ECE">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Weber, M. (1978). Economy and Society. London: University of California Press.</w:t>
      </w:r>
    </w:p>
    <w:p w14:paraId="4ECBF4E3" w14:textId="7564090C" w:rsidR="00B841C7" w:rsidRDefault="00277ECE" w:rsidP="00BD5041">
      <w:pPr>
        <w:spacing w:after="240" w:line="480" w:lineRule="auto"/>
        <w:jc w:val="both"/>
        <w:rPr>
          <w:rFonts w:ascii="Times New Roman" w:hAnsi="Times New Roman" w:cs="Times New Roman"/>
          <w:sz w:val="24"/>
          <w:szCs w:val="24"/>
          <w:lang w:val="en-US"/>
        </w:rPr>
      </w:pPr>
      <w:r w:rsidRPr="00277ECE">
        <w:rPr>
          <w:rFonts w:ascii="Times New Roman" w:hAnsi="Times New Roman" w:cs="Times New Roman"/>
          <w:sz w:val="24"/>
          <w:szCs w:val="24"/>
          <w:lang w:val="en-US"/>
        </w:rPr>
        <w:t>Weber, K., Rohracher, H. (2012) Legitimizing research, technology and innovation policies for transformative change, Research Policy, 41(6), 1037-1047</w:t>
      </w:r>
    </w:p>
    <w:p w14:paraId="19BBF8B0" w14:textId="28A391E4" w:rsidR="0006608F" w:rsidRDefault="0006608F" w:rsidP="0006608F">
      <w:pPr>
        <w:spacing w:after="240" w:line="480" w:lineRule="auto"/>
        <w:jc w:val="both"/>
        <w:rPr>
          <w:rFonts w:ascii="Times New Roman" w:hAnsi="Times New Roman" w:cs="Times New Roman"/>
          <w:sz w:val="24"/>
          <w:szCs w:val="24"/>
          <w:lang w:val="en-US"/>
        </w:rPr>
      </w:pPr>
      <w:r w:rsidRPr="0006608F">
        <w:rPr>
          <w:rFonts w:ascii="Times New Roman" w:hAnsi="Times New Roman" w:cs="Times New Roman"/>
          <w:sz w:val="24"/>
          <w:szCs w:val="24"/>
          <w:lang w:val="en-US"/>
        </w:rPr>
        <w:t>Woolthuis, R.K., Lankhuizen, M., Gilsing, V.A., 2005. A system failure framework for</w:t>
      </w:r>
      <w:r w:rsidR="00CB56B6">
        <w:rPr>
          <w:rFonts w:ascii="Times New Roman" w:hAnsi="Times New Roman" w:cs="Times New Roman"/>
          <w:sz w:val="24"/>
          <w:szCs w:val="24"/>
          <w:lang w:val="en-US"/>
        </w:rPr>
        <w:t xml:space="preserve"> </w:t>
      </w:r>
      <w:r w:rsidRPr="0006608F">
        <w:rPr>
          <w:rFonts w:ascii="Times New Roman" w:hAnsi="Times New Roman" w:cs="Times New Roman"/>
          <w:sz w:val="24"/>
          <w:szCs w:val="24"/>
          <w:lang w:val="en-US"/>
        </w:rPr>
        <w:t>innovation policy design. Technovation 25, 609–619.</w:t>
      </w:r>
    </w:p>
    <w:p w14:paraId="017E9377" w14:textId="77777777" w:rsidR="00B841C7" w:rsidRDefault="00B841C7" w:rsidP="00BD5041">
      <w:pPr>
        <w:spacing w:after="240" w:line="480" w:lineRule="auto"/>
        <w:jc w:val="both"/>
        <w:rPr>
          <w:rFonts w:ascii="Times New Roman" w:hAnsi="Times New Roman" w:cs="Times New Roman"/>
          <w:sz w:val="24"/>
          <w:szCs w:val="24"/>
          <w:lang w:val="en-US"/>
        </w:rPr>
      </w:pPr>
    </w:p>
    <w:p w14:paraId="6FEBFE64" w14:textId="77777777" w:rsidR="00B841C7" w:rsidRDefault="00B841C7" w:rsidP="00BD5041">
      <w:pPr>
        <w:spacing w:after="240" w:line="480" w:lineRule="auto"/>
        <w:jc w:val="both"/>
        <w:rPr>
          <w:rFonts w:ascii="Times New Roman" w:hAnsi="Times New Roman" w:cs="Times New Roman"/>
          <w:sz w:val="24"/>
          <w:szCs w:val="24"/>
          <w:lang w:val="en-US"/>
        </w:rPr>
      </w:pPr>
    </w:p>
    <w:p w14:paraId="4B8B2B14" w14:textId="77777777" w:rsidR="00B841C7" w:rsidRDefault="00B841C7" w:rsidP="00BD5041">
      <w:pPr>
        <w:spacing w:after="240" w:line="480" w:lineRule="auto"/>
        <w:jc w:val="both"/>
        <w:rPr>
          <w:rFonts w:ascii="Times New Roman" w:hAnsi="Times New Roman" w:cs="Times New Roman"/>
          <w:sz w:val="24"/>
          <w:szCs w:val="24"/>
          <w:lang w:val="en-US"/>
        </w:rPr>
      </w:pPr>
    </w:p>
    <w:p w14:paraId="35008119" w14:textId="77777777" w:rsidR="00B841C7" w:rsidRDefault="00B841C7" w:rsidP="00BD5041">
      <w:pPr>
        <w:spacing w:after="240" w:line="480" w:lineRule="auto"/>
        <w:jc w:val="both"/>
        <w:rPr>
          <w:rFonts w:ascii="Times New Roman" w:hAnsi="Times New Roman" w:cs="Times New Roman"/>
          <w:sz w:val="24"/>
          <w:szCs w:val="24"/>
          <w:lang w:val="en-US"/>
        </w:rPr>
      </w:pPr>
    </w:p>
    <w:p w14:paraId="6F6565F5" w14:textId="77777777" w:rsidR="00B841C7" w:rsidRDefault="00B841C7" w:rsidP="00BD5041">
      <w:pPr>
        <w:spacing w:after="240" w:line="480" w:lineRule="auto"/>
        <w:jc w:val="both"/>
        <w:rPr>
          <w:rFonts w:ascii="Times New Roman" w:hAnsi="Times New Roman" w:cs="Times New Roman"/>
          <w:sz w:val="24"/>
          <w:szCs w:val="24"/>
          <w:lang w:val="en-US"/>
        </w:rPr>
      </w:pPr>
    </w:p>
    <w:p w14:paraId="20056BF4" w14:textId="77777777" w:rsidR="00B841C7" w:rsidRDefault="00B841C7" w:rsidP="00BD5041">
      <w:pPr>
        <w:spacing w:after="240" w:line="480" w:lineRule="auto"/>
        <w:jc w:val="both"/>
        <w:rPr>
          <w:rFonts w:ascii="Times New Roman" w:hAnsi="Times New Roman" w:cs="Times New Roman"/>
          <w:sz w:val="24"/>
          <w:szCs w:val="24"/>
          <w:lang w:val="en-US"/>
        </w:rPr>
      </w:pPr>
    </w:p>
    <w:p w14:paraId="0B0B448A" w14:textId="77777777" w:rsidR="00B841C7" w:rsidRDefault="00B841C7" w:rsidP="00BD5041">
      <w:pPr>
        <w:spacing w:after="240" w:line="480" w:lineRule="auto"/>
        <w:jc w:val="both"/>
        <w:rPr>
          <w:rFonts w:ascii="Times New Roman" w:hAnsi="Times New Roman" w:cs="Times New Roman"/>
          <w:sz w:val="24"/>
          <w:szCs w:val="24"/>
          <w:lang w:val="en-US"/>
        </w:rPr>
      </w:pPr>
    </w:p>
    <w:p w14:paraId="4A510DE4" w14:textId="77777777" w:rsidR="00B841C7" w:rsidRDefault="00B841C7" w:rsidP="00BD5041">
      <w:pPr>
        <w:spacing w:after="240" w:line="480" w:lineRule="auto"/>
        <w:jc w:val="both"/>
        <w:rPr>
          <w:rFonts w:ascii="Times New Roman" w:hAnsi="Times New Roman" w:cs="Times New Roman"/>
          <w:sz w:val="24"/>
          <w:szCs w:val="24"/>
          <w:lang w:val="en-US"/>
        </w:rPr>
      </w:pPr>
    </w:p>
    <w:p w14:paraId="228EC0AB" w14:textId="77777777" w:rsidR="00B841C7" w:rsidRDefault="00B841C7" w:rsidP="00BD5041">
      <w:pPr>
        <w:spacing w:after="240" w:line="480" w:lineRule="auto"/>
        <w:jc w:val="both"/>
        <w:rPr>
          <w:rFonts w:ascii="Times New Roman" w:hAnsi="Times New Roman" w:cs="Times New Roman"/>
          <w:sz w:val="24"/>
          <w:szCs w:val="24"/>
          <w:lang w:val="en-US"/>
        </w:rPr>
      </w:pPr>
    </w:p>
    <w:p w14:paraId="5982159E" w14:textId="77777777" w:rsidR="00B841C7" w:rsidRDefault="00B841C7" w:rsidP="00BD5041">
      <w:pPr>
        <w:spacing w:after="240" w:line="480" w:lineRule="auto"/>
        <w:jc w:val="both"/>
        <w:rPr>
          <w:rFonts w:ascii="Times New Roman" w:hAnsi="Times New Roman" w:cs="Times New Roman"/>
          <w:sz w:val="24"/>
          <w:szCs w:val="24"/>
          <w:lang w:val="en-US"/>
        </w:rPr>
      </w:pPr>
    </w:p>
    <w:p w14:paraId="6E8442C2" w14:textId="77777777" w:rsidR="00B841C7" w:rsidRDefault="00B841C7" w:rsidP="00BD5041">
      <w:pPr>
        <w:spacing w:after="240" w:line="480" w:lineRule="auto"/>
        <w:jc w:val="both"/>
        <w:rPr>
          <w:rFonts w:ascii="Times New Roman" w:hAnsi="Times New Roman" w:cs="Times New Roman"/>
          <w:sz w:val="24"/>
          <w:szCs w:val="24"/>
          <w:lang w:val="en-US"/>
        </w:rPr>
      </w:pPr>
    </w:p>
    <w:p w14:paraId="6302100C" w14:textId="77777777" w:rsidR="00B841C7" w:rsidRDefault="00B841C7" w:rsidP="00BD5041">
      <w:pPr>
        <w:spacing w:after="240" w:line="480" w:lineRule="auto"/>
        <w:jc w:val="both"/>
        <w:rPr>
          <w:rFonts w:ascii="Times New Roman" w:hAnsi="Times New Roman" w:cs="Times New Roman"/>
          <w:sz w:val="24"/>
          <w:szCs w:val="24"/>
          <w:lang w:val="en-US"/>
        </w:rPr>
        <w:sectPr w:rsidR="00B841C7" w:rsidSect="007E6B33">
          <w:footerReference w:type="default" r:id="rId8"/>
          <w:pgSz w:w="11906" w:h="16838"/>
          <w:pgMar w:top="1417" w:right="1417" w:bottom="1417" w:left="1417" w:header="708" w:footer="708" w:gutter="0"/>
          <w:cols w:space="708"/>
          <w:docGrid w:linePitch="360"/>
        </w:sectPr>
      </w:pPr>
    </w:p>
    <w:p w14:paraId="612E9B10" w14:textId="77777777" w:rsidR="00B841C7" w:rsidRDefault="00B841C7" w:rsidP="00BD5041">
      <w:pPr>
        <w:spacing w:after="240" w:line="480" w:lineRule="auto"/>
        <w:jc w:val="both"/>
        <w:rPr>
          <w:rFonts w:ascii="Times New Roman" w:hAnsi="Times New Roman" w:cs="Times New Roman"/>
          <w:sz w:val="24"/>
          <w:szCs w:val="24"/>
          <w:lang w:val="en-US"/>
        </w:rPr>
      </w:pPr>
    </w:p>
    <w:p w14:paraId="53FF9492" w14:textId="77777777" w:rsidR="00B841C7" w:rsidRDefault="00B841C7" w:rsidP="00B841C7">
      <w:pPr>
        <w:jc w:val="center"/>
      </w:pPr>
      <w:r>
        <w:t>Table 1 – Shielding, nurturing and empowering processes in assisted living programmes in UK and Norway</w:t>
      </w:r>
    </w:p>
    <w:p w14:paraId="0EF38420" w14:textId="77777777" w:rsidR="00B841C7" w:rsidRDefault="00B841C7" w:rsidP="00B841C7">
      <w:pPr>
        <w:jc w:val="center"/>
      </w:pPr>
    </w:p>
    <w:tbl>
      <w:tblPr>
        <w:tblStyle w:val="TableGrid"/>
        <w:tblW w:w="0" w:type="auto"/>
        <w:tblLook w:val="04A0" w:firstRow="1" w:lastRow="0" w:firstColumn="1" w:lastColumn="0" w:noHBand="0" w:noVBand="1"/>
      </w:tblPr>
      <w:tblGrid>
        <w:gridCol w:w="3487"/>
        <w:gridCol w:w="3487"/>
        <w:gridCol w:w="3487"/>
        <w:gridCol w:w="3487"/>
      </w:tblGrid>
      <w:tr w:rsidR="00B841C7" w14:paraId="3912CF5D" w14:textId="77777777" w:rsidTr="000F57F3">
        <w:tc>
          <w:tcPr>
            <w:tcW w:w="3487" w:type="dxa"/>
          </w:tcPr>
          <w:p w14:paraId="2F20865C" w14:textId="77777777" w:rsidR="00B841C7" w:rsidRDefault="00B841C7" w:rsidP="000F57F3">
            <w:pPr>
              <w:jc w:val="right"/>
            </w:pPr>
          </w:p>
          <w:p w14:paraId="0DCF3CE2" w14:textId="77777777" w:rsidR="00B841C7" w:rsidRDefault="00B841C7" w:rsidP="000F57F3">
            <w:pPr>
              <w:jc w:val="right"/>
            </w:pPr>
            <w:r>
              <w:t>Process</w:t>
            </w:r>
          </w:p>
          <w:p w14:paraId="625F6C30" w14:textId="77777777" w:rsidR="00B841C7" w:rsidRDefault="00B841C7" w:rsidP="000F57F3"/>
          <w:p w14:paraId="01C64F39" w14:textId="77777777" w:rsidR="00B841C7" w:rsidRDefault="00B841C7" w:rsidP="000F57F3">
            <w:r>
              <w:t>Country (Programme)</w:t>
            </w:r>
          </w:p>
        </w:tc>
        <w:tc>
          <w:tcPr>
            <w:tcW w:w="3487" w:type="dxa"/>
          </w:tcPr>
          <w:p w14:paraId="2FD9F2C2" w14:textId="77777777" w:rsidR="00B841C7" w:rsidRDefault="00B841C7" w:rsidP="000F57F3">
            <w:pPr>
              <w:jc w:val="center"/>
            </w:pPr>
          </w:p>
          <w:p w14:paraId="5742C708" w14:textId="77777777" w:rsidR="00B841C7" w:rsidRDefault="00B841C7" w:rsidP="000F57F3">
            <w:pPr>
              <w:jc w:val="center"/>
            </w:pPr>
            <w:r>
              <w:t>Shielding</w:t>
            </w:r>
          </w:p>
        </w:tc>
        <w:tc>
          <w:tcPr>
            <w:tcW w:w="3487" w:type="dxa"/>
          </w:tcPr>
          <w:p w14:paraId="37DA647C" w14:textId="77777777" w:rsidR="00B841C7" w:rsidRDefault="00B841C7" w:rsidP="000F57F3">
            <w:pPr>
              <w:jc w:val="center"/>
            </w:pPr>
          </w:p>
          <w:p w14:paraId="504DB613" w14:textId="77777777" w:rsidR="00B841C7" w:rsidRDefault="00B841C7" w:rsidP="000F57F3">
            <w:pPr>
              <w:jc w:val="center"/>
            </w:pPr>
            <w:r>
              <w:t>Nurturing</w:t>
            </w:r>
          </w:p>
        </w:tc>
        <w:tc>
          <w:tcPr>
            <w:tcW w:w="3487" w:type="dxa"/>
          </w:tcPr>
          <w:p w14:paraId="504EC640" w14:textId="77777777" w:rsidR="00B841C7" w:rsidRDefault="00B841C7" w:rsidP="000F57F3">
            <w:pPr>
              <w:jc w:val="center"/>
            </w:pPr>
          </w:p>
          <w:p w14:paraId="79186CCC" w14:textId="77777777" w:rsidR="00B841C7" w:rsidRDefault="00B841C7" w:rsidP="000F57F3">
            <w:pPr>
              <w:jc w:val="center"/>
            </w:pPr>
            <w:r>
              <w:t>Empowering</w:t>
            </w:r>
          </w:p>
        </w:tc>
      </w:tr>
      <w:tr w:rsidR="00B841C7" w14:paraId="2EA18610" w14:textId="77777777" w:rsidTr="000F57F3">
        <w:tc>
          <w:tcPr>
            <w:tcW w:w="3487" w:type="dxa"/>
          </w:tcPr>
          <w:p w14:paraId="21A9E300" w14:textId="77777777" w:rsidR="00B841C7" w:rsidRDefault="00650448" w:rsidP="000F57F3">
            <w:pPr>
              <w:jc w:val="center"/>
            </w:pPr>
            <w:r>
              <w:rPr>
                <w:noProof/>
                <w:lang w:eastAsia="en-GB"/>
              </w:rPr>
              <mc:AlternateContent>
                <mc:Choice Requires="wps">
                  <w:drawing>
                    <wp:anchor distT="0" distB="0" distL="114300" distR="114300" simplePos="0" relativeHeight="251657216" behindDoc="0" locked="0" layoutInCell="1" allowOverlap="1" wp14:anchorId="27404B22" wp14:editId="688F255A">
                      <wp:simplePos x="0" y="0"/>
                      <wp:positionH relativeFrom="column">
                        <wp:posOffset>-67945</wp:posOffset>
                      </wp:positionH>
                      <wp:positionV relativeFrom="paragraph">
                        <wp:posOffset>-687070</wp:posOffset>
                      </wp:positionV>
                      <wp:extent cx="2205990" cy="678180"/>
                      <wp:effectExtent l="0" t="0" r="381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5990" cy="6781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64910D"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54.1pt" to="168.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" strokecolor="windowText" strokeweight=".5pt">
                      <v:stroke joinstyle="miter"/>
                      <o:lock v:ext="edit" shapetype="f"/>
                    </v:line>
                  </w:pict>
                </mc:Fallback>
              </mc:AlternateContent>
            </w:r>
          </w:p>
          <w:p w14:paraId="0D764408" w14:textId="77777777" w:rsidR="00B841C7" w:rsidRDefault="00B841C7" w:rsidP="000F57F3">
            <w:pPr>
              <w:jc w:val="center"/>
            </w:pPr>
          </w:p>
          <w:p w14:paraId="0D1C8FE5" w14:textId="77777777" w:rsidR="00B841C7" w:rsidRDefault="00B841C7" w:rsidP="000F57F3">
            <w:pPr>
              <w:jc w:val="center"/>
            </w:pPr>
            <w:r>
              <w:t>United Kingdom (DALLAS)</w:t>
            </w:r>
          </w:p>
          <w:p w14:paraId="1BC90562" w14:textId="77777777" w:rsidR="00B841C7" w:rsidRDefault="00B841C7" w:rsidP="000F57F3">
            <w:pPr>
              <w:jc w:val="center"/>
            </w:pPr>
          </w:p>
          <w:p w14:paraId="09E03521" w14:textId="77777777" w:rsidR="00B841C7" w:rsidRDefault="00B841C7" w:rsidP="000F57F3">
            <w:pPr>
              <w:jc w:val="center"/>
            </w:pPr>
          </w:p>
        </w:tc>
        <w:tc>
          <w:tcPr>
            <w:tcW w:w="3487" w:type="dxa"/>
          </w:tcPr>
          <w:p w14:paraId="7962F320" w14:textId="783CD845" w:rsidR="00B841C7" w:rsidRDefault="00B841C7">
            <w:pPr>
              <w:jc w:val="center"/>
            </w:pPr>
            <w:r>
              <w:t xml:space="preserve">Significant levels of funding for three years – focus on building relationships and </w:t>
            </w:r>
            <w:r w:rsidR="006619BE">
              <w:t>improving existing</w:t>
            </w:r>
            <w:r>
              <w:t xml:space="preserve"> technologies rather than </w:t>
            </w:r>
            <w:r w:rsidR="00D807F5">
              <w:t xml:space="preserve">development of </w:t>
            </w:r>
            <w:r>
              <w:t>new products</w:t>
            </w:r>
          </w:p>
        </w:tc>
        <w:tc>
          <w:tcPr>
            <w:tcW w:w="3487" w:type="dxa"/>
          </w:tcPr>
          <w:p w14:paraId="6415FF0B" w14:textId="77777777" w:rsidR="00B841C7" w:rsidRDefault="00B841C7" w:rsidP="000F57F3">
            <w:pPr>
              <w:jc w:val="center"/>
            </w:pPr>
            <w:r>
              <w:t>The time span of three years allowed each project to overcome initial reluctance or different organisational practices and forge new relationships</w:t>
            </w:r>
          </w:p>
        </w:tc>
        <w:tc>
          <w:tcPr>
            <w:tcW w:w="3487" w:type="dxa"/>
          </w:tcPr>
          <w:p w14:paraId="3AE642E8" w14:textId="77777777" w:rsidR="00B841C7" w:rsidRDefault="00B841C7" w:rsidP="000F57F3">
            <w:pPr>
              <w:jc w:val="center"/>
            </w:pPr>
            <w:r>
              <w:t>Limited – no connections between Innovate UK and other government agencies or ministries to upscale; Innovate UK supports a digital network DHACA</w:t>
            </w:r>
          </w:p>
        </w:tc>
      </w:tr>
      <w:tr w:rsidR="00B841C7" w14:paraId="2E4DD571" w14:textId="77777777" w:rsidTr="000F57F3">
        <w:tc>
          <w:tcPr>
            <w:tcW w:w="3487" w:type="dxa"/>
          </w:tcPr>
          <w:p w14:paraId="05A0EE1B" w14:textId="77777777" w:rsidR="00B841C7" w:rsidRDefault="00B841C7" w:rsidP="000F57F3">
            <w:pPr>
              <w:jc w:val="center"/>
            </w:pPr>
          </w:p>
          <w:p w14:paraId="09DB3091" w14:textId="77777777" w:rsidR="00B841C7" w:rsidRDefault="00B841C7" w:rsidP="000F57F3">
            <w:pPr>
              <w:jc w:val="center"/>
            </w:pPr>
          </w:p>
          <w:p w14:paraId="38E2EB57" w14:textId="20C7A593" w:rsidR="00B841C7" w:rsidRDefault="00B841C7" w:rsidP="000F57F3">
            <w:pPr>
              <w:jc w:val="center"/>
            </w:pPr>
            <w:r>
              <w:t>Norway (</w:t>
            </w:r>
            <w:r w:rsidR="00E35069">
              <w:t>SAMVEIS</w:t>
            </w:r>
            <w:r>
              <w:t>)</w:t>
            </w:r>
          </w:p>
          <w:p w14:paraId="746B3913" w14:textId="77777777" w:rsidR="00B841C7" w:rsidRDefault="00B841C7" w:rsidP="000F57F3">
            <w:pPr>
              <w:jc w:val="center"/>
            </w:pPr>
          </w:p>
          <w:p w14:paraId="50799140" w14:textId="77777777" w:rsidR="00B841C7" w:rsidRDefault="00B841C7" w:rsidP="000F57F3">
            <w:pPr>
              <w:jc w:val="center"/>
            </w:pPr>
          </w:p>
        </w:tc>
        <w:tc>
          <w:tcPr>
            <w:tcW w:w="3487" w:type="dxa"/>
          </w:tcPr>
          <w:p w14:paraId="62C62E1F" w14:textId="2627BA57" w:rsidR="00B841C7" w:rsidRDefault="00B841C7" w:rsidP="000F57F3">
            <w:pPr>
              <w:jc w:val="center"/>
            </w:pPr>
            <w:r>
              <w:t xml:space="preserve">Involvement of </w:t>
            </w:r>
            <w:r w:rsidRPr="00BC6477">
              <w:t>Norwegian Directorate of Health</w:t>
            </w:r>
            <w:r>
              <w:t xml:space="preserve"> guarantees financial and political support; focus on </w:t>
            </w:r>
            <w:r w:rsidR="00EB4993">
              <w:t xml:space="preserve">developing and testing new solutions of assisted living </w:t>
            </w:r>
          </w:p>
        </w:tc>
        <w:tc>
          <w:tcPr>
            <w:tcW w:w="3487" w:type="dxa"/>
          </w:tcPr>
          <w:p w14:paraId="67E44E59" w14:textId="5D246F73" w:rsidR="00B841C7" w:rsidRDefault="00B841C7" w:rsidP="000F57F3">
            <w:pPr>
              <w:jc w:val="center"/>
            </w:pPr>
            <w:r>
              <w:t xml:space="preserve">Use of Continua framework to ensure interoperability; multiple networks built to facilitate </w:t>
            </w:r>
            <w:r w:rsidR="00AA6522">
              <w:t xml:space="preserve">interaction and </w:t>
            </w:r>
            <w:r>
              <w:t xml:space="preserve">communication between partners </w:t>
            </w:r>
          </w:p>
        </w:tc>
        <w:tc>
          <w:tcPr>
            <w:tcW w:w="3487" w:type="dxa"/>
          </w:tcPr>
          <w:p w14:paraId="3C9EAC89" w14:textId="77777777" w:rsidR="00B841C7" w:rsidRDefault="00B841C7" w:rsidP="000F57F3">
            <w:pPr>
              <w:jc w:val="center"/>
            </w:pPr>
            <w:r>
              <w:t>Upscaling stage currently in progress; evidence of some fragmentation but involvement of central government intended to guarantee upscaling</w:t>
            </w:r>
          </w:p>
        </w:tc>
      </w:tr>
    </w:tbl>
    <w:p w14:paraId="7B022970" w14:textId="77777777" w:rsidR="00B841C7" w:rsidRPr="00B841C7" w:rsidRDefault="00B841C7" w:rsidP="00BD5041">
      <w:pPr>
        <w:spacing w:after="240" w:line="480" w:lineRule="auto"/>
        <w:jc w:val="both"/>
        <w:rPr>
          <w:rFonts w:ascii="Times New Roman" w:hAnsi="Times New Roman" w:cs="Times New Roman"/>
          <w:sz w:val="24"/>
          <w:szCs w:val="24"/>
        </w:rPr>
      </w:pPr>
    </w:p>
    <w:p w14:paraId="1CFCA247" w14:textId="77777777" w:rsidR="00B841C7" w:rsidRDefault="00B841C7" w:rsidP="00BD5041">
      <w:pPr>
        <w:spacing w:after="240" w:line="480" w:lineRule="auto"/>
        <w:jc w:val="both"/>
        <w:rPr>
          <w:rFonts w:ascii="Times New Roman" w:hAnsi="Times New Roman" w:cs="Times New Roman"/>
          <w:sz w:val="24"/>
          <w:szCs w:val="24"/>
          <w:lang w:val="en-US"/>
        </w:rPr>
      </w:pPr>
    </w:p>
    <w:p w14:paraId="22EA498C" w14:textId="77777777" w:rsidR="00B841C7" w:rsidRDefault="00B841C7" w:rsidP="00BD5041">
      <w:pPr>
        <w:spacing w:after="240" w:line="480" w:lineRule="auto"/>
        <w:jc w:val="both"/>
        <w:rPr>
          <w:rFonts w:ascii="Times New Roman" w:hAnsi="Times New Roman" w:cs="Times New Roman"/>
          <w:sz w:val="24"/>
          <w:szCs w:val="24"/>
          <w:lang w:val="en-US"/>
        </w:rPr>
      </w:pPr>
    </w:p>
    <w:p w14:paraId="11144BD7" w14:textId="77777777" w:rsidR="00B841C7" w:rsidRDefault="00B841C7" w:rsidP="00BD5041">
      <w:pPr>
        <w:spacing w:after="240" w:line="480" w:lineRule="auto"/>
        <w:jc w:val="both"/>
        <w:rPr>
          <w:rFonts w:ascii="Times New Roman" w:hAnsi="Times New Roman" w:cs="Times New Roman"/>
          <w:sz w:val="24"/>
          <w:szCs w:val="24"/>
          <w:lang w:val="en-US"/>
        </w:rPr>
      </w:pPr>
    </w:p>
    <w:p w14:paraId="52AE31A0" w14:textId="77777777" w:rsidR="00B841C7" w:rsidRDefault="00B841C7" w:rsidP="00BD5041">
      <w:pPr>
        <w:spacing w:after="240" w:line="480" w:lineRule="auto"/>
        <w:jc w:val="both"/>
        <w:rPr>
          <w:rFonts w:ascii="Times New Roman" w:hAnsi="Times New Roman" w:cs="Times New Roman"/>
          <w:sz w:val="24"/>
          <w:szCs w:val="24"/>
          <w:lang w:val="en-US"/>
        </w:rPr>
      </w:pPr>
    </w:p>
    <w:p w14:paraId="7FB29BA4" w14:textId="77777777" w:rsidR="00B841C7" w:rsidRDefault="00B841C7" w:rsidP="00BD5041">
      <w:pPr>
        <w:spacing w:after="240" w:line="480" w:lineRule="auto"/>
        <w:jc w:val="both"/>
        <w:rPr>
          <w:rFonts w:ascii="Times New Roman" w:hAnsi="Times New Roman" w:cs="Times New Roman"/>
          <w:sz w:val="24"/>
          <w:szCs w:val="24"/>
          <w:lang w:val="en-US"/>
        </w:rPr>
      </w:pPr>
    </w:p>
    <w:p w14:paraId="0209DE97" w14:textId="77777777" w:rsidR="00B841C7" w:rsidRDefault="00B841C7" w:rsidP="00B841C7">
      <w:pPr>
        <w:jc w:val="center"/>
      </w:pPr>
      <w:r>
        <w:t>Table 2 – Transformational system failures and assisted living programmes in Norway and UK</w:t>
      </w:r>
    </w:p>
    <w:p w14:paraId="4FACEBA5" w14:textId="77777777" w:rsidR="00B841C7" w:rsidRDefault="00B841C7" w:rsidP="00B841C7">
      <w:pPr>
        <w:jc w:val="center"/>
      </w:pPr>
    </w:p>
    <w:p w14:paraId="37D8F9E7" w14:textId="77777777" w:rsidR="00B841C7" w:rsidRDefault="00B841C7" w:rsidP="00B841C7">
      <w:pPr>
        <w:jc w:val="center"/>
      </w:pPr>
    </w:p>
    <w:tbl>
      <w:tblPr>
        <w:tblStyle w:val="TableGrid"/>
        <w:tblW w:w="0" w:type="auto"/>
        <w:tblLook w:val="04A0" w:firstRow="1" w:lastRow="0" w:firstColumn="1" w:lastColumn="0" w:noHBand="0" w:noVBand="1"/>
      </w:tblPr>
      <w:tblGrid>
        <w:gridCol w:w="2959"/>
        <w:gridCol w:w="2856"/>
        <w:gridCol w:w="2803"/>
        <w:gridCol w:w="2839"/>
        <w:gridCol w:w="2491"/>
      </w:tblGrid>
      <w:tr w:rsidR="00B841C7" w14:paraId="096F5D28" w14:textId="77777777" w:rsidTr="000F57F3">
        <w:tc>
          <w:tcPr>
            <w:tcW w:w="2959" w:type="dxa"/>
          </w:tcPr>
          <w:p w14:paraId="19F7DF0C" w14:textId="77777777" w:rsidR="00B841C7" w:rsidRDefault="00B841C7" w:rsidP="000F57F3">
            <w:pPr>
              <w:jc w:val="right"/>
            </w:pPr>
            <w:r>
              <w:t>Transformational</w:t>
            </w:r>
          </w:p>
          <w:p w14:paraId="553497D0" w14:textId="77777777" w:rsidR="00B841C7" w:rsidRDefault="00B841C7" w:rsidP="000F57F3">
            <w:pPr>
              <w:jc w:val="right"/>
            </w:pPr>
            <w:r>
              <w:t>system failures</w:t>
            </w:r>
          </w:p>
          <w:p w14:paraId="5DB0F934" w14:textId="77777777" w:rsidR="00B841C7" w:rsidRDefault="00B841C7" w:rsidP="000F57F3"/>
          <w:p w14:paraId="69551648" w14:textId="77777777" w:rsidR="00B841C7" w:rsidRDefault="00B841C7" w:rsidP="000F57F3">
            <w:r>
              <w:t>Country (Programme)</w:t>
            </w:r>
          </w:p>
        </w:tc>
        <w:tc>
          <w:tcPr>
            <w:tcW w:w="2856" w:type="dxa"/>
          </w:tcPr>
          <w:p w14:paraId="0044B28F" w14:textId="77777777" w:rsidR="00B841C7" w:rsidRDefault="00B841C7" w:rsidP="000F57F3">
            <w:pPr>
              <w:jc w:val="center"/>
            </w:pPr>
          </w:p>
          <w:p w14:paraId="6682C8BA" w14:textId="77777777" w:rsidR="00B841C7" w:rsidRDefault="00B841C7" w:rsidP="000F57F3">
            <w:pPr>
              <w:jc w:val="center"/>
            </w:pPr>
            <w:r>
              <w:t>Directionality failure</w:t>
            </w:r>
          </w:p>
        </w:tc>
        <w:tc>
          <w:tcPr>
            <w:tcW w:w="2803" w:type="dxa"/>
          </w:tcPr>
          <w:p w14:paraId="425B6AED" w14:textId="77777777" w:rsidR="00B841C7" w:rsidRDefault="00B841C7" w:rsidP="000F57F3">
            <w:pPr>
              <w:jc w:val="center"/>
            </w:pPr>
          </w:p>
          <w:p w14:paraId="4821E8C7" w14:textId="77777777" w:rsidR="00B841C7" w:rsidRDefault="00B841C7" w:rsidP="000F57F3">
            <w:pPr>
              <w:jc w:val="center"/>
            </w:pPr>
            <w:r>
              <w:t>Demand articulation failure</w:t>
            </w:r>
          </w:p>
        </w:tc>
        <w:tc>
          <w:tcPr>
            <w:tcW w:w="2839" w:type="dxa"/>
          </w:tcPr>
          <w:p w14:paraId="57EBFC99" w14:textId="77777777" w:rsidR="00B841C7" w:rsidRDefault="00B841C7" w:rsidP="000F57F3">
            <w:pPr>
              <w:jc w:val="center"/>
            </w:pPr>
          </w:p>
          <w:p w14:paraId="13465F6A" w14:textId="77777777" w:rsidR="00B841C7" w:rsidRDefault="00B841C7" w:rsidP="000F57F3">
            <w:pPr>
              <w:jc w:val="center"/>
            </w:pPr>
            <w:r>
              <w:t>Policy coordination failure</w:t>
            </w:r>
          </w:p>
        </w:tc>
        <w:tc>
          <w:tcPr>
            <w:tcW w:w="2491" w:type="dxa"/>
          </w:tcPr>
          <w:p w14:paraId="0DC71338" w14:textId="77777777" w:rsidR="00B841C7" w:rsidRDefault="00B841C7" w:rsidP="000F57F3">
            <w:pPr>
              <w:jc w:val="center"/>
            </w:pPr>
          </w:p>
          <w:p w14:paraId="2938F72E" w14:textId="77777777" w:rsidR="00B841C7" w:rsidRDefault="00B841C7" w:rsidP="000F57F3">
            <w:pPr>
              <w:jc w:val="center"/>
            </w:pPr>
            <w:r>
              <w:t>Reflexivity failure</w:t>
            </w:r>
          </w:p>
        </w:tc>
      </w:tr>
      <w:tr w:rsidR="00B841C7" w14:paraId="67B6A13B" w14:textId="77777777" w:rsidTr="000F57F3">
        <w:tc>
          <w:tcPr>
            <w:tcW w:w="2959" w:type="dxa"/>
          </w:tcPr>
          <w:p w14:paraId="105578EA" w14:textId="77777777" w:rsidR="00B841C7" w:rsidRDefault="00650448" w:rsidP="000F57F3">
            <w:r>
              <w:rPr>
                <w:noProof/>
                <w:lang w:eastAsia="en-GB"/>
              </w:rPr>
              <mc:AlternateContent>
                <mc:Choice Requires="wps">
                  <w:drawing>
                    <wp:anchor distT="0" distB="0" distL="114300" distR="114300" simplePos="0" relativeHeight="251659264" behindDoc="0" locked="0" layoutInCell="1" allowOverlap="1" wp14:anchorId="5698CAE8" wp14:editId="3EACFE9F">
                      <wp:simplePos x="0" y="0"/>
                      <wp:positionH relativeFrom="column">
                        <wp:posOffset>-67945</wp:posOffset>
                      </wp:positionH>
                      <wp:positionV relativeFrom="paragraph">
                        <wp:posOffset>-687070</wp:posOffset>
                      </wp:positionV>
                      <wp:extent cx="1878330" cy="674370"/>
                      <wp:effectExtent l="0" t="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8330" cy="6743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A0E02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54.1pt" to="14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" strokecolor="windowText" strokeweight=".5pt">
                      <v:stroke joinstyle="miter"/>
                      <o:lock v:ext="edit" shapetype="f"/>
                    </v:line>
                  </w:pict>
                </mc:Fallback>
              </mc:AlternateContent>
            </w:r>
          </w:p>
          <w:p w14:paraId="3A0C5105" w14:textId="77777777" w:rsidR="00B841C7" w:rsidRDefault="00B841C7" w:rsidP="000F57F3"/>
          <w:p w14:paraId="058D0682" w14:textId="77777777" w:rsidR="00B841C7" w:rsidRDefault="00B841C7" w:rsidP="000F57F3">
            <w:r>
              <w:t>United Kingdom (DALLAS)</w:t>
            </w:r>
          </w:p>
          <w:p w14:paraId="0E3F6CF7" w14:textId="77777777" w:rsidR="00B841C7" w:rsidRDefault="00B841C7" w:rsidP="000F57F3"/>
          <w:p w14:paraId="3243FB00" w14:textId="77777777" w:rsidR="00B841C7" w:rsidRDefault="00B841C7" w:rsidP="000F57F3"/>
        </w:tc>
        <w:tc>
          <w:tcPr>
            <w:tcW w:w="2856" w:type="dxa"/>
          </w:tcPr>
          <w:p w14:paraId="7500FC79" w14:textId="77777777" w:rsidR="00B841C7" w:rsidRDefault="00B841C7" w:rsidP="000F57F3">
            <w:pPr>
              <w:jc w:val="center"/>
            </w:pPr>
            <w:r>
              <w:t>Bottom-up projects by third-sector partners ensure focus and coherence; existence of three year funding provides incentive to other partners</w:t>
            </w:r>
          </w:p>
        </w:tc>
        <w:tc>
          <w:tcPr>
            <w:tcW w:w="2803" w:type="dxa"/>
          </w:tcPr>
          <w:p w14:paraId="41E2A71E" w14:textId="77777777" w:rsidR="00B841C7" w:rsidRDefault="00B841C7" w:rsidP="000F57F3">
            <w:pPr>
              <w:jc w:val="center"/>
            </w:pPr>
            <w:r>
              <w:t>Creates technological literacy among potential end-users; one project specifically about interoperability</w:t>
            </w:r>
          </w:p>
        </w:tc>
        <w:tc>
          <w:tcPr>
            <w:tcW w:w="2839" w:type="dxa"/>
          </w:tcPr>
          <w:p w14:paraId="2F31F8CD" w14:textId="77777777" w:rsidR="00B841C7" w:rsidRDefault="00B841C7" w:rsidP="000F57F3">
            <w:pPr>
              <w:jc w:val="center"/>
            </w:pPr>
            <w:r>
              <w:t>Fail vertically due to lack of coordination between scales of government; fail horizontally due to lack of involvement from NHS, other government departments</w:t>
            </w:r>
          </w:p>
        </w:tc>
        <w:tc>
          <w:tcPr>
            <w:tcW w:w="2491" w:type="dxa"/>
          </w:tcPr>
          <w:p w14:paraId="2B228E37" w14:textId="77777777" w:rsidR="00B841C7" w:rsidRDefault="00B841C7" w:rsidP="000F57F3">
            <w:pPr>
              <w:jc w:val="center"/>
            </w:pPr>
            <w:r>
              <w:t>Lack of continuity (apart from DHACA website) limits opportunities for learning and reflexivity</w:t>
            </w:r>
          </w:p>
        </w:tc>
      </w:tr>
      <w:tr w:rsidR="00B841C7" w14:paraId="69D8D323" w14:textId="77777777" w:rsidTr="000F57F3">
        <w:tc>
          <w:tcPr>
            <w:tcW w:w="2959" w:type="dxa"/>
          </w:tcPr>
          <w:p w14:paraId="645438B0" w14:textId="77777777" w:rsidR="00B841C7" w:rsidRDefault="00B841C7" w:rsidP="000F57F3"/>
          <w:p w14:paraId="0E0F9321" w14:textId="77777777" w:rsidR="00B841C7" w:rsidRDefault="00B841C7" w:rsidP="000F57F3"/>
          <w:p w14:paraId="068C0EA4" w14:textId="7DC01FAD" w:rsidR="00B841C7" w:rsidRDefault="00B841C7" w:rsidP="000F57F3">
            <w:r>
              <w:t>Norway (</w:t>
            </w:r>
            <w:r w:rsidR="00E35069">
              <w:t>SAMVEIS</w:t>
            </w:r>
            <w:r>
              <w:t>)</w:t>
            </w:r>
          </w:p>
          <w:p w14:paraId="461A5F27" w14:textId="77777777" w:rsidR="00B841C7" w:rsidRDefault="00B841C7" w:rsidP="000F57F3"/>
          <w:p w14:paraId="7CC13022" w14:textId="77777777" w:rsidR="00B841C7" w:rsidRDefault="00B841C7" w:rsidP="000F57F3"/>
        </w:tc>
        <w:tc>
          <w:tcPr>
            <w:tcW w:w="2856" w:type="dxa"/>
          </w:tcPr>
          <w:p w14:paraId="1A6087CF" w14:textId="77777777" w:rsidR="00B841C7" w:rsidRDefault="00B841C7" w:rsidP="000F57F3">
            <w:pPr>
              <w:jc w:val="center"/>
            </w:pPr>
            <w:r>
              <w:t xml:space="preserve">Pro-active, top down approach from </w:t>
            </w:r>
            <w:r w:rsidRPr="0018354C">
              <w:t>Norwegian Directorate of Health and Association of local and regional authorities</w:t>
            </w:r>
            <w:r>
              <w:t xml:space="preserve"> provides guidance and coherence</w:t>
            </w:r>
          </w:p>
        </w:tc>
        <w:tc>
          <w:tcPr>
            <w:tcW w:w="2803" w:type="dxa"/>
          </w:tcPr>
          <w:p w14:paraId="0446C2A1" w14:textId="0CDDED36" w:rsidR="00B841C7" w:rsidRDefault="00B841C7" w:rsidP="000F57F3">
            <w:pPr>
              <w:jc w:val="center"/>
            </w:pPr>
            <w:r>
              <w:t xml:space="preserve">Definition of clear long term goals for welfare technologies; </w:t>
            </w:r>
            <w:r w:rsidR="00D63009">
              <w:t xml:space="preserve">selection of specific technologies, </w:t>
            </w:r>
            <w:r>
              <w:t>use of Continua framework to ensure interoperability</w:t>
            </w:r>
          </w:p>
        </w:tc>
        <w:tc>
          <w:tcPr>
            <w:tcW w:w="2839" w:type="dxa"/>
          </w:tcPr>
          <w:p w14:paraId="29A55755" w14:textId="3D8BDD0C" w:rsidR="00B841C7" w:rsidRDefault="00D63009" w:rsidP="000F57F3">
            <w:pPr>
              <w:jc w:val="center"/>
            </w:pPr>
            <w:r>
              <w:t>V</w:t>
            </w:r>
            <w:r w:rsidR="00B841C7">
              <w:t xml:space="preserve">ertical </w:t>
            </w:r>
            <w:r>
              <w:t xml:space="preserve">and horizontal </w:t>
            </w:r>
            <w:r w:rsidR="00B841C7">
              <w:t xml:space="preserve">policy coordination </w:t>
            </w:r>
            <w:r>
              <w:t>by</w:t>
            </w:r>
            <w:r w:rsidR="00B841C7">
              <w:t xml:space="preserve"> national agency</w:t>
            </w:r>
            <w:r>
              <w:t xml:space="preserve"> in the programme. Still some </w:t>
            </w:r>
            <w:r w:rsidR="00B841C7">
              <w:t xml:space="preserve">fragmentation </w:t>
            </w:r>
            <w:r>
              <w:t xml:space="preserve">across government levels and across stakeholders in knowledge development </w:t>
            </w:r>
          </w:p>
        </w:tc>
        <w:tc>
          <w:tcPr>
            <w:tcW w:w="2491" w:type="dxa"/>
          </w:tcPr>
          <w:p w14:paraId="47141E3D" w14:textId="128E9A04" w:rsidR="00B841C7" w:rsidRDefault="00B841C7" w:rsidP="000F57F3">
            <w:pPr>
              <w:jc w:val="center"/>
            </w:pPr>
            <w:r>
              <w:t xml:space="preserve">Monitoring and evaluation </w:t>
            </w:r>
            <w:r w:rsidR="009C4987">
              <w:t xml:space="preserve">limited and </w:t>
            </w:r>
            <w:r>
              <w:t>happen</w:t>
            </w:r>
            <w:r w:rsidR="009C4987">
              <w:t>ing</w:t>
            </w:r>
            <w:r>
              <w:t xml:space="preserve"> at arm’s length</w:t>
            </w:r>
            <w:r w:rsidR="009C4987">
              <w:t xml:space="preserve">; few end users in first phases; limited </w:t>
            </w:r>
            <w:r w:rsidR="00CE5E5E">
              <w:t xml:space="preserve">ambitions and </w:t>
            </w:r>
            <w:r w:rsidR="009C4987">
              <w:t>continuity in reflexivity</w:t>
            </w:r>
            <w:r>
              <w:t xml:space="preserve"> </w:t>
            </w:r>
          </w:p>
        </w:tc>
      </w:tr>
    </w:tbl>
    <w:p w14:paraId="3E28E2C5" w14:textId="77777777" w:rsidR="00B841C7" w:rsidRDefault="00B841C7" w:rsidP="00B841C7">
      <w:pPr>
        <w:jc w:val="center"/>
      </w:pPr>
    </w:p>
    <w:p w14:paraId="7E52C5A6" w14:textId="77777777" w:rsidR="00EE65D8" w:rsidRDefault="00EE65D8" w:rsidP="00B841C7">
      <w:pPr>
        <w:spacing w:after="240" w:line="480" w:lineRule="auto"/>
        <w:jc w:val="both"/>
        <w:rPr>
          <w:rFonts w:ascii="Times New Roman" w:hAnsi="Times New Roman" w:cs="Times New Roman"/>
          <w:sz w:val="24"/>
          <w:szCs w:val="24"/>
          <w:lang w:val="en-US"/>
        </w:rPr>
      </w:pPr>
      <w:bookmarkStart w:id="1" w:name="bookmark0"/>
      <w:bookmarkEnd w:id="1"/>
    </w:p>
    <w:p w14:paraId="3EED0E09" w14:textId="0431338B" w:rsidR="00441B93" w:rsidRPr="00514F13" w:rsidRDefault="00441B93" w:rsidP="00B841C7">
      <w:pPr>
        <w:spacing w:after="240" w:line="480" w:lineRule="auto"/>
        <w:jc w:val="both"/>
        <w:rPr>
          <w:rFonts w:ascii="Times New Roman" w:hAnsi="Times New Roman" w:cs="Times New Roman"/>
          <w:sz w:val="24"/>
          <w:szCs w:val="24"/>
          <w:lang w:val="en-US"/>
        </w:rPr>
      </w:pPr>
    </w:p>
    <w:sectPr w:rsidR="00441B93" w:rsidRPr="00514F13" w:rsidSect="00B841C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69C5F" w14:textId="77777777" w:rsidR="00215C4D" w:rsidRDefault="00215C4D">
      <w:pPr>
        <w:spacing w:after="0" w:line="240" w:lineRule="auto"/>
      </w:pPr>
      <w:r>
        <w:separator/>
      </w:r>
    </w:p>
  </w:endnote>
  <w:endnote w:type="continuationSeparator" w:id="0">
    <w:p w14:paraId="5E27E547" w14:textId="77777777" w:rsidR="00215C4D" w:rsidRDefault="0021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85612"/>
      <w:docPartObj>
        <w:docPartGallery w:val="Page Numbers (Bottom of Page)"/>
        <w:docPartUnique/>
      </w:docPartObj>
    </w:sdtPr>
    <w:sdtEndPr/>
    <w:sdtContent>
      <w:p w14:paraId="44FB552A" w14:textId="654EFA5F" w:rsidR="008D1AF4" w:rsidRDefault="008D1AF4">
        <w:pPr>
          <w:pStyle w:val="Footer"/>
          <w:jc w:val="center"/>
        </w:pPr>
        <w:r>
          <w:fldChar w:fldCharType="begin"/>
        </w:r>
        <w:r>
          <w:instrText xml:space="preserve"> PAGE   \* MERGEFORMAT </w:instrText>
        </w:r>
        <w:r>
          <w:fldChar w:fldCharType="separate"/>
        </w:r>
        <w:r w:rsidR="00FE6EC2">
          <w:rPr>
            <w:noProof/>
          </w:rPr>
          <w:t>21</w:t>
        </w:r>
        <w:r>
          <w:rPr>
            <w:noProof/>
          </w:rPr>
          <w:fldChar w:fldCharType="end"/>
        </w:r>
      </w:p>
    </w:sdtContent>
  </w:sdt>
  <w:p w14:paraId="78FEF935" w14:textId="77777777" w:rsidR="008D1AF4" w:rsidRDefault="008D1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76F92" w14:textId="77777777" w:rsidR="00215C4D" w:rsidRDefault="00215C4D">
      <w:pPr>
        <w:spacing w:after="0" w:line="240" w:lineRule="auto"/>
      </w:pPr>
      <w:r>
        <w:separator/>
      </w:r>
    </w:p>
  </w:footnote>
  <w:footnote w:type="continuationSeparator" w:id="0">
    <w:p w14:paraId="42D5C914" w14:textId="77777777" w:rsidR="00215C4D" w:rsidRDefault="00215C4D">
      <w:pPr>
        <w:spacing w:after="0" w:line="240" w:lineRule="auto"/>
      </w:pPr>
      <w:r>
        <w:continuationSeparator/>
      </w:r>
    </w:p>
  </w:footnote>
  <w:footnote w:id="1">
    <w:p w14:paraId="6B46BEF4" w14:textId="77777777" w:rsidR="008D1AF4" w:rsidRPr="006533D6" w:rsidRDefault="008D1AF4">
      <w:pPr>
        <w:pStyle w:val="FootnoteText"/>
        <w:rPr>
          <w:lang w:val="en-US"/>
        </w:rPr>
      </w:pPr>
      <w:r>
        <w:rPr>
          <w:rStyle w:val="FootnoteReference"/>
        </w:rPr>
        <w:footnoteRef/>
      </w:r>
      <w:r w:rsidRPr="00CC476E">
        <w:rPr>
          <w:lang w:val="en-GB"/>
        </w:rPr>
        <w:t xml:space="preserve"> </w:t>
      </w:r>
      <w:r w:rsidRPr="006533D6">
        <w:rPr>
          <w:lang w:val="en-US"/>
        </w:rPr>
        <w:t xml:space="preserve">See Shove and Walker (2007) for a critique on the manageability of system innovation or transitions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491F"/>
    <w:multiLevelType w:val="hybridMultilevel"/>
    <w:tmpl w:val="212E6BE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273D55"/>
    <w:multiLevelType w:val="hybridMultilevel"/>
    <w:tmpl w:val="3E827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A4201"/>
    <w:multiLevelType w:val="hybridMultilevel"/>
    <w:tmpl w:val="D542F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095F54"/>
    <w:multiLevelType w:val="hybridMultilevel"/>
    <w:tmpl w:val="0E72AF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BAD4820"/>
    <w:multiLevelType w:val="hybridMultilevel"/>
    <w:tmpl w:val="F4EE14C4"/>
    <w:lvl w:ilvl="0" w:tplc="BDFE5CC2">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C64A6B"/>
    <w:multiLevelType w:val="hybridMultilevel"/>
    <w:tmpl w:val="BE1CC7EC"/>
    <w:lvl w:ilvl="0" w:tplc="5D4249A6">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D7A7D93"/>
    <w:multiLevelType w:val="hybridMultilevel"/>
    <w:tmpl w:val="7632BA9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4B7128E"/>
    <w:multiLevelType w:val="hybridMultilevel"/>
    <w:tmpl w:val="26586E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54D0B25"/>
    <w:multiLevelType w:val="hybridMultilevel"/>
    <w:tmpl w:val="40A683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5E26149"/>
    <w:multiLevelType w:val="hybridMultilevel"/>
    <w:tmpl w:val="6B949B6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7B29AC"/>
    <w:multiLevelType w:val="hybridMultilevel"/>
    <w:tmpl w:val="6B949B6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5144C59"/>
    <w:multiLevelType w:val="hybridMultilevel"/>
    <w:tmpl w:val="78DAE6E4"/>
    <w:lvl w:ilvl="0" w:tplc="04140001">
      <w:start w:val="1"/>
      <w:numFmt w:val="bullet"/>
      <w:lvlText w:val=""/>
      <w:lvlJc w:val="left"/>
      <w:pPr>
        <w:ind w:left="420" w:hanging="360"/>
      </w:pPr>
      <w:rPr>
        <w:rFonts w:ascii="Symbol" w:hAnsi="Symbol"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2" w15:restartNumberingAfterBreak="0">
    <w:nsid w:val="7AA97CBC"/>
    <w:multiLevelType w:val="hybridMultilevel"/>
    <w:tmpl w:val="FE78FD72"/>
    <w:lvl w:ilvl="0" w:tplc="F17CA57C">
      <w:start w:val="1"/>
      <w:numFmt w:val="low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num w:numId="1">
    <w:abstractNumId w:val="10"/>
  </w:num>
  <w:num w:numId="2">
    <w:abstractNumId w:val="5"/>
  </w:num>
  <w:num w:numId="3">
    <w:abstractNumId w:val="6"/>
  </w:num>
  <w:num w:numId="4">
    <w:abstractNumId w:val="1"/>
  </w:num>
  <w:num w:numId="5">
    <w:abstractNumId w:val="0"/>
  </w:num>
  <w:num w:numId="6">
    <w:abstractNumId w:val="7"/>
  </w:num>
  <w:num w:numId="7">
    <w:abstractNumId w:val="2"/>
  </w:num>
  <w:num w:numId="8">
    <w:abstractNumId w:val="12"/>
  </w:num>
  <w:num w:numId="9">
    <w:abstractNumId w:val="4"/>
  </w:num>
  <w:num w:numId="10">
    <w:abstractNumId w:val="11"/>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conomic Geograph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axpt5exdvxdhe20sqpstwvwdtsex0avvzr&quot;&gt;Bibliotek&lt;record-ids&gt;&lt;item&gt;2082&lt;/item&gt;&lt;item&gt;2201&lt;/item&gt;&lt;item&gt;2431&lt;/item&gt;&lt;/record-ids&gt;&lt;/item&gt;&lt;/Libraries&gt;"/>
  </w:docVars>
  <w:rsids>
    <w:rsidRoot w:val="00EF1D66"/>
    <w:rsid w:val="00002DD4"/>
    <w:rsid w:val="00004616"/>
    <w:rsid w:val="00011324"/>
    <w:rsid w:val="00013F47"/>
    <w:rsid w:val="000201C9"/>
    <w:rsid w:val="00021555"/>
    <w:rsid w:val="0002264E"/>
    <w:rsid w:val="000239BA"/>
    <w:rsid w:val="000255CF"/>
    <w:rsid w:val="00025646"/>
    <w:rsid w:val="00025A27"/>
    <w:rsid w:val="000278E5"/>
    <w:rsid w:val="0003036C"/>
    <w:rsid w:val="000317C4"/>
    <w:rsid w:val="00032A0A"/>
    <w:rsid w:val="00033D1E"/>
    <w:rsid w:val="0003566F"/>
    <w:rsid w:val="000356A0"/>
    <w:rsid w:val="00042239"/>
    <w:rsid w:val="0004669A"/>
    <w:rsid w:val="0004794F"/>
    <w:rsid w:val="0005449F"/>
    <w:rsid w:val="00054FDA"/>
    <w:rsid w:val="00055563"/>
    <w:rsid w:val="00055D33"/>
    <w:rsid w:val="00055F42"/>
    <w:rsid w:val="0005699A"/>
    <w:rsid w:val="00065D1A"/>
    <w:rsid w:val="0006608F"/>
    <w:rsid w:val="00070F31"/>
    <w:rsid w:val="00071409"/>
    <w:rsid w:val="00072EF5"/>
    <w:rsid w:val="0007396C"/>
    <w:rsid w:val="000853E6"/>
    <w:rsid w:val="00085C51"/>
    <w:rsid w:val="000874C1"/>
    <w:rsid w:val="000876DB"/>
    <w:rsid w:val="00092748"/>
    <w:rsid w:val="00094354"/>
    <w:rsid w:val="000A0365"/>
    <w:rsid w:val="000A1890"/>
    <w:rsid w:val="000A21B1"/>
    <w:rsid w:val="000A2891"/>
    <w:rsid w:val="000A3C2C"/>
    <w:rsid w:val="000A4C32"/>
    <w:rsid w:val="000B1C62"/>
    <w:rsid w:val="000B2BE0"/>
    <w:rsid w:val="000C2102"/>
    <w:rsid w:val="000C2907"/>
    <w:rsid w:val="000C5C51"/>
    <w:rsid w:val="000C657F"/>
    <w:rsid w:val="000C6674"/>
    <w:rsid w:val="000C7BFC"/>
    <w:rsid w:val="000D0033"/>
    <w:rsid w:val="000D1B8F"/>
    <w:rsid w:val="000D21B4"/>
    <w:rsid w:val="000D2863"/>
    <w:rsid w:val="000E0362"/>
    <w:rsid w:val="000E0C8A"/>
    <w:rsid w:val="000E1C11"/>
    <w:rsid w:val="000E56BA"/>
    <w:rsid w:val="000F36CA"/>
    <w:rsid w:val="000F37D7"/>
    <w:rsid w:val="000F479F"/>
    <w:rsid w:val="000F4AF1"/>
    <w:rsid w:val="000F57F3"/>
    <w:rsid w:val="000F7100"/>
    <w:rsid w:val="000F77F6"/>
    <w:rsid w:val="001015F7"/>
    <w:rsid w:val="00102F61"/>
    <w:rsid w:val="0010478F"/>
    <w:rsid w:val="00105893"/>
    <w:rsid w:val="00111593"/>
    <w:rsid w:val="00113E56"/>
    <w:rsid w:val="001160E1"/>
    <w:rsid w:val="00116785"/>
    <w:rsid w:val="00120F10"/>
    <w:rsid w:val="00122334"/>
    <w:rsid w:val="00122DE4"/>
    <w:rsid w:val="00123308"/>
    <w:rsid w:val="00123D40"/>
    <w:rsid w:val="00125C29"/>
    <w:rsid w:val="00130091"/>
    <w:rsid w:val="00132330"/>
    <w:rsid w:val="001345F8"/>
    <w:rsid w:val="00136938"/>
    <w:rsid w:val="00143FEA"/>
    <w:rsid w:val="00144EC8"/>
    <w:rsid w:val="00150557"/>
    <w:rsid w:val="00151543"/>
    <w:rsid w:val="0015394D"/>
    <w:rsid w:val="001624B4"/>
    <w:rsid w:val="00163C03"/>
    <w:rsid w:val="001663DB"/>
    <w:rsid w:val="00171812"/>
    <w:rsid w:val="00172895"/>
    <w:rsid w:val="00172CF9"/>
    <w:rsid w:val="00174821"/>
    <w:rsid w:val="00174EA6"/>
    <w:rsid w:val="00180F62"/>
    <w:rsid w:val="00186B5A"/>
    <w:rsid w:val="001901A8"/>
    <w:rsid w:val="001966E7"/>
    <w:rsid w:val="001968B0"/>
    <w:rsid w:val="001A281A"/>
    <w:rsid w:val="001A58E4"/>
    <w:rsid w:val="001B0406"/>
    <w:rsid w:val="001B0D20"/>
    <w:rsid w:val="001B77B1"/>
    <w:rsid w:val="001C0B10"/>
    <w:rsid w:val="001C67E4"/>
    <w:rsid w:val="001D1683"/>
    <w:rsid w:val="001D645B"/>
    <w:rsid w:val="001E1C95"/>
    <w:rsid w:val="001E20C5"/>
    <w:rsid w:val="001E4F19"/>
    <w:rsid w:val="001F0849"/>
    <w:rsid w:val="001F54CA"/>
    <w:rsid w:val="00203D85"/>
    <w:rsid w:val="00204F3E"/>
    <w:rsid w:val="00205F58"/>
    <w:rsid w:val="0021047B"/>
    <w:rsid w:val="00211B6A"/>
    <w:rsid w:val="00215C4D"/>
    <w:rsid w:val="00216082"/>
    <w:rsid w:val="00216350"/>
    <w:rsid w:val="00220DE6"/>
    <w:rsid w:val="00220E5D"/>
    <w:rsid w:val="00221A81"/>
    <w:rsid w:val="00226E5A"/>
    <w:rsid w:val="00226EB2"/>
    <w:rsid w:val="002273C7"/>
    <w:rsid w:val="002315F1"/>
    <w:rsid w:val="002333D0"/>
    <w:rsid w:val="00236907"/>
    <w:rsid w:val="00236E49"/>
    <w:rsid w:val="002374BC"/>
    <w:rsid w:val="002402A9"/>
    <w:rsid w:val="002404A9"/>
    <w:rsid w:val="002410E6"/>
    <w:rsid w:val="002443CB"/>
    <w:rsid w:val="0024527E"/>
    <w:rsid w:val="002569B3"/>
    <w:rsid w:val="002606F2"/>
    <w:rsid w:val="0026174F"/>
    <w:rsid w:val="0026344C"/>
    <w:rsid w:val="00274270"/>
    <w:rsid w:val="00274434"/>
    <w:rsid w:val="0027564C"/>
    <w:rsid w:val="00276240"/>
    <w:rsid w:val="00276276"/>
    <w:rsid w:val="00277ECE"/>
    <w:rsid w:val="00280533"/>
    <w:rsid w:val="002817B5"/>
    <w:rsid w:val="0029349E"/>
    <w:rsid w:val="0029476D"/>
    <w:rsid w:val="002A46B4"/>
    <w:rsid w:val="002A46ED"/>
    <w:rsid w:val="002A6DD6"/>
    <w:rsid w:val="002A7942"/>
    <w:rsid w:val="002B1737"/>
    <w:rsid w:val="002B303D"/>
    <w:rsid w:val="002B79DB"/>
    <w:rsid w:val="002C1273"/>
    <w:rsid w:val="002C383B"/>
    <w:rsid w:val="002C7037"/>
    <w:rsid w:val="002C7B98"/>
    <w:rsid w:val="002D022F"/>
    <w:rsid w:val="002D2DF0"/>
    <w:rsid w:val="002D39BE"/>
    <w:rsid w:val="002D3D4C"/>
    <w:rsid w:val="002D3FDA"/>
    <w:rsid w:val="002D41B4"/>
    <w:rsid w:val="002D4AD2"/>
    <w:rsid w:val="002D7A7F"/>
    <w:rsid w:val="002E076C"/>
    <w:rsid w:val="002E11F3"/>
    <w:rsid w:val="002E174B"/>
    <w:rsid w:val="002E6A96"/>
    <w:rsid w:val="002E7E6B"/>
    <w:rsid w:val="002F0ADC"/>
    <w:rsid w:val="002F257B"/>
    <w:rsid w:val="002F2FC6"/>
    <w:rsid w:val="002F4621"/>
    <w:rsid w:val="002F633E"/>
    <w:rsid w:val="00303876"/>
    <w:rsid w:val="0030595B"/>
    <w:rsid w:val="00306C20"/>
    <w:rsid w:val="0030709B"/>
    <w:rsid w:val="00310EAC"/>
    <w:rsid w:val="0031113D"/>
    <w:rsid w:val="003144E8"/>
    <w:rsid w:val="003210EE"/>
    <w:rsid w:val="003226EB"/>
    <w:rsid w:val="003229F6"/>
    <w:rsid w:val="00323300"/>
    <w:rsid w:val="003267DA"/>
    <w:rsid w:val="00327657"/>
    <w:rsid w:val="00334A27"/>
    <w:rsid w:val="00340E85"/>
    <w:rsid w:val="003416C7"/>
    <w:rsid w:val="003420F0"/>
    <w:rsid w:val="003433C2"/>
    <w:rsid w:val="0034519B"/>
    <w:rsid w:val="003502C9"/>
    <w:rsid w:val="003529E2"/>
    <w:rsid w:val="00354C10"/>
    <w:rsid w:val="00354DF0"/>
    <w:rsid w:val="003571AE"/>
    <w:rsid w:val="0036798B"/>
    <w:rsid w:val="00373A62"/>
    <w:rsid w:val="00375094"/>
    <w:rsid w:val="003779DA"/>
    <w:rsid w:val="00380716"/>
    <w:rsid w:val="00384497"/>
    <w:rsid w:val="00384962"/>
    <w:rsid w:val="00384B80"/>
    <w:rsid w:val="00390491"/>
    <w:rsid w:val="0039191E"/>
    <w:rsid w:val="00393D7C"/>
    <w:rsid w:val="00394077"/>
    <w:rsid w:val="00394CE1"/>
    <w:rsid w:val="003958D3"/>
    <w:rsid w:val="00395DB1"/>
    <w:rsid w:val="00396592"/>
    <w:rsid w:val="00396A8A"/>
    <w:rsid w:val="003A00D6"/>
    <w:rsid w:val="003A042C"/>
    <w:rsid w:val="003A15A5"/>
    <w:rsid w:val="003A58F0"/>
    <w:rsid w:val="003B2619"/>
    <w:rsid w:val="003B4652"/>
    <w:rsid w:val="003B78EE"/>
    <w:rsid w:val="003C52EE"/>
    <w:rsid w:val="003D617E"/>
    <w:rsid w:val="003D6661"/>
    <w:rsid w:val="003D788E"/>
    <w:rsid w:val="003E0AB4"/>
    <w:rsid w:val="003E52A7"/>
    <w:rsid w:val="003F7C03"/>
    <w:rsid w:val="004016D1"/>
    <w:rsid w:val="0040220E"/>
    <w:rsid w:val="00405AE0"/>
    <w:rsid w:val="00406534"/>
    <w:rsid w:val="00407FF9"/>
    <w:rsid w:val="0041386E"/>
    <w:rsid w:val="00416DBD"/>
    <w:rsid w:val="004218FD"/>
    <w:rsid w:val="00425A48"/>
    <w:rsid w:val="00425FD1"/>
    <w:rsid w:val="004307A7"/>
    <w:rsid w:val="004341A7"/>
    <w:rsid w:val="00435713"/>
    <w:rsid w:val="004358CA"/>
    <w:rsid w:val="00436A73"/>
    <w:rsid w:val="00437B52"/>
    <w:rsid w:val="00441102"/>
    <w:rsid w:val="00441B93"/>
    <w:rsid w:val="00441EB5"/>
    <w:rsid w:val="0044383A"/>
    <w:rsid w:val="00452C0B"/>
    <w:rsid w:val="0045763F"/>
    <w:rsid w:val="00461F69"/>
    <w:rsid w:val="00462A7B"/>
    <w:rsid w:val="004638CD"/>
    <w:rsid w:val="00466C93"/>
    <w:rsid w:val="00471887"/>
    <w:rsid w:val="00472077"/>
    <w:rsid w:val="00473EF6"/>
    <w:rsid w:val="00483505"/>
    <w:rsid w:val="004901BD"/>
    <w:rsid w:val="00491DEE"/>
    <w:rsid w:val="00492148"/>
    <w:rsid w:val="00493D5D"/>
    <w:rsid w:val="00496166"/>
    <w:rsid w:val="00496A8F"/>
    <w:rsid w:val="004976D9"/>
    <w:rsid w:val="0049786B"/>
    <w:rsid w:val="004A0868"/>
    <w:rsid w:val="004B090C"/>
    <w:rsid w:val="004C0065"/>
    <w:rsid w:val="004C17DC"/>
    <w:rsid w:val="004C2FF7"/>
    <w:rsid w:val="004C4AB6"/>
    <w:rsid w:val="004C6576"/>
    <w:rsid w:val="004D0ACA"/>
    <w:rsid w:val="004D3E12"/>
    <w:rsid w:val="004D7EF1"/>
    <w:rsid w:val="004E1888"/>
    <w:rsid w:val="004E2DFE"/>
    <w:rsid w:val="004E6F0F"/>
    <w:rsid w:val="004E7CEB"/>
    <w:rsid w:val="004F32C0"/>
    <w:rsid w:val="004F39EE"/>
    <w:rsid w:val="004F400B"/>
    <w:rsid w:val="004F49A1"/>
    <w:rsid w:val="004F5376"/>
    <w:rsid w:val="00504B84"/>
    <w:rsid w:val="00506329"/>
    <w:rsid w:val="00511319"/>
    <w:rsid w:val="00514F13"/>
    <w:rsid w:val="005158B0"/>
    <w:rsid w:val="00520768"/>
    <w:rsid w:val="00520BA0"/>
    <w:rsid w:val="00522C5F"/>
    <w:rsid w:val="005355F8"/>
    <w:rsid w:val="00536BCC"/>
    <w:rsid w:val="00537782"/>
    <w:rsid w:val="005418CE"/>
    <w:rsid w:val="00547850"/>
    <w:rsid w:val="00550DE6"/>
    <w:rsid w:val="005528A1"/>
    <w:rsid w:val="005531F1"/>
    <w:rsid w:val="00553E79"/>
    <w:rsid w:val="00554F2D"/>
    <w:rsid w:val="005552BB"/>
    <w:rsid w:val="00555BD6"/>
    <w:rsid w:val="0055638D"/>
    <w:rsid w:val="0055708F"/>
    <w:rsid w:val="00565AE2"/>
    <w:rsid w:val="00571AA2"/>
    <w:rsid w:val="00572334"/>
    <w:rsid w:val="00575567"/>
    <w:rsid w:val="00575953"/>
    <w:rsid w:val="00576512"/>
    <w:rsid w:val="00577758"/>
    <w:rsid w:val="005803E6"/>
    <w:rsid w:val="00581FA2"/>
    <w:rsid w:val="005834E5"/>
    <w:rsid w:val="00591A7D"/>
    <w:rsid w:val="00591DD0"/>
    <w:rsid w:val="005932A6"/>
    <w:rsid w:val="00594968"/>
    <w:rsid w:val="00594A7E"/>
    <w:rsid w:val="005961ED"/>
    <w:rsid w:val="00596585"/>
    <w:rsid w:val="005A086E"/>
    <w:rsid w:val="005A2A9F"/>
    <w:rsid w:val="005A41FC"/>
    <w:rsid w:val="005A7BD3"/>
    <w:rsid w:val="005B0D09"/>
    <w:rsid w:val="005B13AE"/>
    <w:rsid w:val="005B3415"/>
    <w:rsid w:val="005B5C7E"/>
    <w:rsid w:val="005B69F2"/>
    <w:rsid w:val="005C013C"/>
    <w:rsid w:val="005C31AF"/>
    <w:rsid w:val="005C31C2"/>
    <w:rsid w:val="005C6777"/>
    <w:rsid w:val="005D1419"/>
    <w:rsid w:val="005D1F43"/>
    <w:rsid w:val="005D3552"/>
    <w:rsid w:val="005D4D11"/>
    <w:rsid w:val="005D5541"/>
    <w:rsid w:val="005E1C92"/>
    <w:rsid w:val="005E34C9"/>
    <w:rsid w:val="005E4FEB"/>
    <w:rsid w:val="005F20C8"/>
    <w:rsid w:val="005F4644"/>
    <w:rsid w:val="005F607E"/>
    <w:rsid w:val="00602D3E"/>
    <w:rsid w:val="00605F63"/>
    <w:rsid w:val="00612CFE"/>
    <w:rsid w:val="0061412F"/>
    <w:rsid w:val="00617699"/>
    <w:rsid w:val="0061794F"/>
    <w:rsid w:val="006225DD"/>
    <w:rsid w:val="00622C77"/>
    <w:rsid w:val="0062315B"/>
    <w:rsid w:val="00623A96"/>
    <w:rsid w:val="006258A0"/>
    <w:rsid w:val="006266D3"/>
    <w:rsid w:val="00630747"/>
    <w:rsid w:val="0063087F"/>
    <w:rsid w:val="006310FD"/>
    <w:rsid w:val="00632389"/>
    <w:rsid w:val="00634499"/>
    <w:rsid w:val="0064489B"/>
    <w:rsid w:val="00644E01"/>
    <w:rsid w:val="00645E57"/>
    <w:rsid w:val="00646CF7"/>
    <w:rsid w:val="00647B55"/>
    <w:rsid w:val="00650448"/>
    <w:rsid w:val="006507D5"/>
    <w:rsid w:val="006509F7"/>
    <w:rsid w:val="006533D6"/>
    <w:rsid w:val="00654374"/>
    <w:rsid w:val="00654C69"/>
    <w:rsid w:val="00655804"/>
    <w:rsid w:val="006578C5"/>
    <w:rsid w:val="006619BE"/>
    <w:rsid w:val="00661A6E"/>
    <w:rsid w:val="0067329B"/>
    <w:rsid w:val="006760BE"/>
    <w:rsid w:val="00676D79"/>
    <w:rsid w:val="006810ED"/>
    <w:rsid w:val="00682FDE"/>
    <w:rsid w:val="00684D25"/>
    <w:rsid w:val="006850FE"/>
    <w:rsid w:val="00692036"/>
    <w:rsid w:val="00693639"/>
    <w:rsid w:val="00693DDC"/>
    <w:rsid w:val="006953E1"/>
    <w:rsid w:val="0069577B"/>
    <w:rsid w:val="0069718A"/>
    <w:rsid w:val="006A16DA"/>
    <w:rsid w:val="006A4FD5"/>
    <w:rsid w:val="006A6585"/>
    <w:rsid w:val="006A6956"/>
    <w:rsid w:val="006B26E9"/>
    <w:rsid w:val="006B41B2"/>
    <w:rsid w:val="006C1EE1"/>
    <w:rsid w:val="006C2FCF"/>
    <w:rsid w:val="006C4A62"/>
    <w:rsid w:val="006C5C0F"/>
    <w:rsid w:val="006C778C"/>
    <w:rsid w:val="006D4E55"/>
    <w:rsid w:val="006D501E"/>
    <w:rsid w:val="006D6EBF"/>
    <w:rsid w:val="006E5615"/>
    <w:rsid w:val="006E5FE9"/>
    <w:rsid w:val="006F3256"/>
    <w:rsid w:val="007040A4"/>
    <w:rsid w:val="00704BAE"/>
    <w:rsid w:val="007102C7"/>
    <w:rsid w:val="007113FC"/>
    <w:rsid w:val="00711CB1"/>
    <w:rsid w:val="00712BC1"/>
    <w:rsid w:val="0071345C"/>
    <w:rsid w:val="007154D2"/>
    <w:rsid w:val="00715B97"/>
    <w:rsid w:val="00717AD3"/>
    <w:rsid w:val="0072104E"/>
    <w:rsid w:val="007216F0"/>
    <w:rsid w:val="00721A92"/>
    <w:rsid w:val="007221C4"/>
    <w:rsid w:val="00726759"/>
    <w:rsid w:val="00733395"/>
    <w:rsid w:val="0073692E"/>
    <w:rsid w:val="0074120B"/>
    <w:rsid w:val="00745B84"/>
    <w:rsid w:val="00746A46"/>
    <w:rsid w:val="00746D98"/>
    <w:rsid w:val="00750475"/>
    <w:rsid w:val="00750CD3"/>
    <w:rsid w:val="00752414"/>
    <w:rsid w:val="00764830"/>
    <w:rsid w:val="00766EAC"/>
    <w:rsid w:val="00767B17"/>
    <w:rsid w:val="00772783"/>
    <w:rsid w:val="0077332D"/>
    <w:rsid w:val="00782B3C"/>
    <w:rsid w:val="007846A5"/>
    <w:rsid w:val="00786100"/>
    <w:rsid w:val="007869D9"/>
    <w:rsid w:val="00790341"/>
    <w:rsid w:val="00792CC4"/>
    <w:rsid w:val="007945F6"/>
    <w:rsid w:val="007953F4"/>
    <w:rsid w:val="00797864"/>
    <w:rsid w:val="00797F9C"/>
    <w:rsid w:val="007A30B8"/>
    <w:rsid w:val="007A3212"/>
    <w:rsid w:val="007A43BD"/>
    <w:rsid w:val="007A446C"/>
    <w:rsid w:val="007A685E"/>
    <w:rsid w:val="007B42B7"/>
    <w:rsid w:val="007C0024"/>
    <w:rsid w:val="007C09FB"/>
    <w:rsid w:val="007C2854"/>
    <w:rsid w:val="007C5ACE"/>
    <w:rsid w:val="007C5B55"/>
    <w:rsid w:val="007D13DD"/>
    <w:rsid w:val="007D1776"/>
    <w:rsid w:val="007D202C"/>
    <w:rsid w:val="007D299C"/>
    <w:rsid w:val="007D5190"/>
    <w:rsid w:val="007D5F05"/>
    <w:rsid w:val="007D77F5"/>
    <w:rsid w:val="007E0994"/>
    <w:rsid w:val="007E68B9"/>
    <w:rsid w:val="007E6B33"/>
    <w:rsid w:val="007E6CEA"/>
    <w:rsid w:val="007E7097"/>
    <w:rsid w:val="007F14FE"/>
    <w:rsid w:val="007F2E00"/>
    <w:rsid w:val="007F2EBB"/>
    <w:rsid w:val="007F414B"/>
    <w:rsid w:val="007F4566"/>
    <w:rsid w:val="007F4D40"/>
    <w:rsid w:val="007F4DA7"/>
    <w:rsid w:val="00801DDE"/>
    <w:rsid w:val="008042A0"/>
    <w:rsid w:val="00804C29"/>
    <w:rsid w:val="008053B1"/>
    <w:rsid w:val="00805A76"/>
    <w:rsid w:val="00806738"/>
    <w:rsid w:val="008135D0"/>
    <w:rsid w:val="0082443C"/>
    <w:rsid w:val="008244EB"/>
    <w:rsid w:val="00826682"/>
    <w:rsid w:val="008300F9"/>
    <w:rsid w:val="00832C3A"/>
    <w:rsid w:val="00832DC0"/>
    <w:rsid w:val="00834D85"/>
    <w:rsid w:val="008421E0"/>
    <w:rsid w:val="00845EB9"/>
    <w:rsid w:val="00846999"/>
    <w:rsid w:val="00852030"/>
    <w:rsid w:val="00853ED1"/>
    <w:rsid w:val="00853FC2"/>
    <w:rsid w:val="00854B0F"/>
    <w:rsid w:val="008653BE"/>
    <w:rsid w:val="00866D93"/>
    <w:rsid w:val="00870FBD"/>
    <w:rsid w:val="00872B31"/>
    <w:rsid w:val="0087304E"/>
    <w:rsid w:val="00875184"/>
    <w:rsid w:val="00876DD7"/>
    <w:rsid w:val="00880A2A"/>
    <w:rsid w:val="00880C00"/>
    <w:rsid w:val="00885981"/>
    <w:rsid w:val="00886F02"/>
    <w:rsid w:val="00890DEF"/>
    <w:rsid w:val="008950F8"/>
    <w:rsid w:val="00895F78"/>
    <w:rsid w:val="00896242"/>
    <w:rsid w:val="008971AC"/>
    <w:rsid w:val="008A00A8"/>
    <w:rsid w:val="008A3619"/>
    <w:rsid w:val="008A4F16"/>
    <w:rsid w:val="008B10A5"/>
    <w:rsid w:val="008B3BEE"/>
    <w:rsid w:val="008B4410"/>
    <w:rsid w:val="008B6ED8"/>
    <w:rsid w:val="008B7F1A"/>
    <w:rsid w:val="008C02F2"/>
    <w:rsid w:val="008C0A5A"/>
    <w:rsid w:val="008C3E3B"/>
    <w:rsid w:val="008C4413"/>
    <w:rsid w:val="008C5269"/>
    <w:rsid w:val="008C6C91"/>
    <w:rsid w:val="008D1AF4"/>
    <w:rsid w:val="008D3FF0"/>
    <w:rsid w:val="008D63DF"/>
    <w:rsid w:val="008D7FC0"/>
    <w:rsid w:val="008E1413"/>
    <w:rsid w:val="008E331C"/>
    <w:rsid w:val="008E50DB"/>
    <w:rsid w:val="008E6E69"/>
    <w:rsid w:val="008F679F"/>
    <w:rsid w:val="008F713E"/>
    <w:rsid w:val="00900006"/>
    <w:rsid w:val="00900068"/>
    <w:rsid w:val="00902338"/>
    <w:rsid w:val="0091245C"/>
    <w:rsid w:val="009133AC"/>
    <w:rsid w:val="009136B2"/>
    <w:rsid w:val="00914BAF"/>
    <w:rsid w:val="0091583F"/>
    <w:rsid w:val="0092136C"/>
    <w:rsid w:val="00922E1C"/>
    <w:rsid w:val="00927058"/>
    <w:rsid w:val="00927296"/>
    <w:rsid w:val="00936D4F"/>
    <w:rsid w:val="00937A0D"/>
    <w:rsid w:val="00940365"/>
    <w:rsid w:val="00940965"/>
    <w:rsid w:val="0094403F"/>
    <w:rsid w:val="009505B4"/>
    <w:rsid w:val="00951DF1"/>
    <w:rsid w:val="00954315"/>
    <w:rsid w:val="00955AD5"/>
    <w:rsid w:val="00956A40"/>
    <w:rsid w:val="00956FBB"/>
    <w:rsid w:val="009635EE"/>
    <w:rsid w:val="00963A42"/>
    <w:rsid w:val="00964A49"/>
    <w:rsid w:val="00972CF4"/>
    <w:rsid w:val="00982548"/>
    <w:rsid w:val="00983176"/>
    <w:rsid w:val="009848D7"/>
    <w:rsid w:val="00985FA5"/>
    <w:rsid w:val="009915FC"/>
    <w:rsid w:val="00991652"/>
    <w:rsid w:val="00992454"/>
    <w:rsid w:val="00995626"/>
    <w:rsid w:val="009A0A3F"/>
    <w:rsid w:val="009A1008"/>
    <w:rsid w:val="009A1E72"/>
    <w:rsid w:val="009A3043"/>
    <w:rsid w:val="009A4E38"/>
    <w:rsid w:val="009A50E6"/>
    <w:rsid w:val="009B4D5D"/>
    <w:rsid w:val="009B647B"/>
    <w:rsid w:val="009B7F58"/>
    <w:rsid w:val="009C2045"/>
    <w:rsid w:val="009C253E"/>
    <w:rsid w:val="009C4987"/>
    <w:rsid w:val="009C60BD"/>
    <w:rsid w:val="009C772A"/>
    <w:rsid w:val="009D3C1B"/>
    <w:rsid w:val="009D3E3B"/>
    <w:rsid w:val="009D4F4F"/>
    <w:rsid w:val="009D5F77"/>
    <w:rsid w:val="009D7FFD"/>
    <w:rsid w:val="009E03AC"/>
    <w:rsid w:val="009E2FD5"/>
    <w:rsid w:val="009E717E"/>
    <w:rsid w:val="009E7B42"/>
    <w:rsid w:val="009F038A"/>
    <w:rsid w:val="009F2962"/>
    <w:rsid w:val="009F2CEA"/>
    <w:rsid w:val="009F581C"/>
    <w:rsid w:val="009F5AAC"/>
    <w:rsid w:val="009F68F8"/>
    <w:rsid w:val="00A0116A"/>
    <w:rsid w:val="00A02518"/>
    <w:rsid w:val="00A114BA"/>
    <w:rsid w:val="00A13055"/>
    <w:rsid w:val="00A1397C"/>
    <w:rsid w:val="00A2104E"/>
    <w:rsid w:val="00A21F45"/>
    <w:rsid w:val="00A30246"/>
    <w:rsid w:val="00A3116C"/>
    <w:rsid w:val="00A325AF"/>
    <w:rsid w:val="00A3446F"/>
    <w:rsid w:val="00A413C7"/>
    <w:rsid w:val="00A501B9"/>
    <w:rsid w:val="00A51CC4"/>
    <w:rsid w:val="00A5257A"/>
    <w:rsid w:val="00A53998"/>
    <w:rsid w:val="00A556A0"/>
    <w:rsid w:val="00A57D3D"/>
    <w:rsid w:val="00A63FBD"/>
    <w:rsid w:val="00A667E7"/>
    <w:rsid w:val="00A7070B"/>
    <w:rsid w:val="00A7346D"/>
    <w:rsid w:val="00A76A2C"/>
    <w:rsid w:val="00A7734F"/>
    <w:rsid w:val="00A80B84"/>
    <w:rsid w:val="00A81169"/>
    <w:rsid w:val="00A833AB"/>
    <w:rsid w:val="00A90434"/>
    <w:rsid w:val="00A90E5B"/>
    <w:rsid w:val="00A919FE"/>
    <w:rsid w:val="00A931DF"/>
    <w:rsid w:val="00A96D00"/>
    <w:rsid w:val="00AA0F4F"/>
    <w:rsid w:val="00AA2820"/>
    <w:rsid w:val="00AA290E"/>
    <w:rsid w:val="00AA3E8B"/>
    <w:rsid w:val="00AA50E4"/>
    <w:rsid w:val="00AA6522"/>
    <w:rsid w:val="00AB2C17"/>
    <w:rsid w:val="00AB780D"/>
    <w:rsid w:val="00AC0AAA"/>
    <w:rsid w:val="00AC1A93"/>
    <w:rsid w:val="00AC3446"/>
    <w:rsid w:val="00AD129A"/>
    <w:rsid w:val="00AD25A7"/>
    <w:rsid w:val="00AD2ECC"/>
    <w:rsid w:val="00AD2F9F"/>
    <w:rsid w:val="00AD38A8"/>
    <w:rsid w:val="00AD3C25"/>
    <w:rsid w:val="00AD3FE6"/>
    <w:rsid w:val="00AD7B93"/>
    <w:rsid w:val="00AE09CA"/>
    <w:rsid w:val="00AE3558"/>
    <w:rsid w:val="00AE441B"/>
    <w:rsid w:val="00AF04F1"/>
    <w:rsid w:val="00AF16ED"/>
    <w:rsid w:val="00AF2952"/>
    <w:rsid w:val="00AF61EC"/>
    <w:rsid w:val="00AF6CC3"/>
    <w:rsid w:val="00AF7751"/>
    <w:rsid w:val="00B005BE"/>
    <w:rsid w:val="00B00C2E"/>
    <w:rsid w:val="00B01E1F"/>
    <w:rsid w:val="00B04A41"/>
    <w:rsid w:val="00B078C7"/>
    <w:rsid w:val="00B10DDC"/>
    <w:rsid w:val="00B113BB"/>
    <w:rsid w:val="00B119D0"/>
    <w:rsid w:val="00B155B8"/>
    <w:rsid w:val="00B17F16"/>
    <w:rsid w:val="00B22FC5"/>
    <w:rsid w:val="00B2437D"/>
    <w:rsid w:val="00B24DE6"/>
    <w:rsid w:val="00B3108F"/>
    <w:rsid w:val="00B323D8"/>
    <w:rsid w:val="00B34452"/>
    <w:rsid w:val="00B35E0C"/>
    <w:rsid w:val="00B407C2"/>
    <w:rsid w:val="00B517D3"/>
    <w:rsid w:val="00B51E1B"/>
    <w:rsid w:val="00B556C7"/>
    <w:rsid w:val="00B6092F"/>
    <w:rsid w:val="00B615C1"/>
    <w:rsid w:val="00B61F2E"/>
    <w:rsid w:val="00B6259B"/>
    <w:rsid w:val="00B64F3E"/>
    <w:rsid w:val="00B7647A"/>
    <w:rsid w:val="00B82AA6"/>
    <w:rsid w:val="00B82DF2"/>
    <w:rsid w:val="00B838C6"/>
    <w:rsid w:val="00B841C7"/>
    <w:rsid w:val="00B87DEF"/>
    <w:rsid w:val="00B916E7"/>
    <w:rsid w:val="00B93CDC"/>
    <w:rsid w:val="00B95FA4"/>
    <w:rsid w:val="00B9637F"/>
    <w:rsid w:val="00B9773A"/>
    <w:rsid w:val="00B97AD5"/>
    <w:rsid w:val="00BA0E29"/>
    <w:rsid w:val="00BA48AB"/>
    <w:rsid w:val="00BA4C64"/>
    <w:rsid w:val="00BA5C5D"/>
    <w:rsid w:val="00BA6A57"/>
    <w:rsid w:val="00BB2911"/>
    <w:rsid w:val="00BB4D84"/>
    <w:rsid w:val="00BB563F"/>
    <w:rsid w:val="00BB56DA"/>
    <w:rsid w:val="00BB5914"/>
    <w:rsid w:val="00BB7CB6"/>
    <w:rsid w:val="00BC08F1"/>
    <w:rsid w:val="00BC08FC"/>
    <w:rsid w:val="00BC2CDF"/>
    <w:rsid w:val="00BC35B1"/>
    <w:rsid w:val="00BC4351"/>
    <w:rsid w:val="00BC4377"/>
    <w:rsid w:val="00BC523D"/>
    <w:rsid w:val="00BC5B4F"/>
    <w:rsid w:val="00BD36CB"/>
    <w:rsid w:val="00BD5041"/>
    <w:rsid w:val="00BE050C"/>
    <w:rsid w:val="00BE19ED"/>
    <w:rsid w:val="00BE2926"/>
    <w:rsid w:val="00BE735D"/>
    <w:rsid w:val="00BF0CF2"/>
    <w:rsid w:val="00BF3964"/>
    <w:rsid w:val="00BF4610"/>
    <w:rsid w:val="00BF5EE6"/>
    <w:rsid w:val="00C0135B"/>
    <w:rsid w:val="00C014F6"/>
    <w:rsid w:val="00C042FF"/>
    <w:rsid w:val="00C06DC3"/>
    <w:rsid w:val="00C109A1"/>
    <w:rsid w:val="00C12A8F"/>
    <w:rsid w:val="00C14259"/>
    <w:rsid w:val="00C14E54"/>
    <w:rsid w:val="00C2134B"/>
    <w:rsid w:val="00C226D9"/>
    <w:rsid w:val="00C23C63"/>
    <w:rsid w:val="00C23D25"/>
    <w:rsid w:val="00C23E0B"/>
    <w:rsid w:val="00C24ABA"/>
    <w:rsid w:val="00C252CC"/>
    <w:rsid w:val="00C261E5"/>
    <w:rsid w:val="00C310EE"/>
    <w:rsid w:val="00C31C3C"/>
    <w:rsid w:val="00C34C39"/>
    <w:rsid w:val="00C46B57"/>
    <w:rsid w:val="00C50366"/>
    <w:rsid w:val="00C516A7"/>
    <w:rsid w:val="00C51854"/>
    <w:rsid w:val="00C51B97"/>
    <w:rsid w:val="00C53706"/>
    <w:rsid w:val="00C602F8"/>
    <w:rsid w:val="00C60CDB"/>
    <w:rsid w:val="00C62A7F"/>
    <w:rsid w:val="00C64CF1"/>
    <w:rsid w:val="00C64E00"/>
    <w:rsid w:val="00C676AC"/>
    <w:rsid w:val="00C716B7"/>
    <w:rsid w:val="00C732C6"/>
    <w:rsid w:val="00C76535"/>
    <w:rsid w:val="00C77378"/>
    <w:rsid w:val="00C80EEB"/>
    <w:rsid w:val="00C81BB9"/>
    <w:rsid w:val="00C8235E"/>
    <w:rsid w:val="00C85FA3"/>
    <w:rsid w:val="00C86730"/>
    <w:rsid w:val="00C90CF2"/>
    <w:rsid w:val="00C921CD"/>
    <w:rsid w:val="00CA0F4A"/>
    <w:rsid w:val="00CA249D"/>
    <w:rsid w:val="00CA4426"/>
    <w:rsid w:val="00CA4727"/>
    <w:rsid w:val="00CA7BD9"/>
    <w:rsid w:val="00CB0100"/>
    <w:rsid w:val="00CB05AB"/>
    <w:rsid w:val="00CB118A"/>
    <w:rsid w:val="00CB5373"/>
    <w:rsid w:val="00CB543C"/>
    <w:rsid w:val="00CB56B6"/>
    <w:rsid w:val="00CC476E"/>
    <w:rsid w:val="00CD10BB"/>
    <w:rsid w:val="00CD1182"/>
    <w:rsid w:val="00CD322A"/>
    <w:rsid w:val="00CD3CB6"/>
    <w:rsid w:val="00CD6743"/>
    <w:rsid w:val="00CD7973"/>
    <w:rsid w:val="00CE35CC"/>
    <w:rsid w:val="00CE5E5E"/>
    <w:rsid w:val="00CE6632"/>
    <w:rsid w:val="00CF05A9"/>
    <w:rsid w:val="00CF2F11"/>
    <w:rsid w:val="00CF329B"/>
    <w:rsid w:val="00CF353C"/>
    <w:rsid w:val="00CF6557"/>
    <w:rsid w:val="00CF6803"/>
    <w:rsid w:val="00D00174"/>
    <w:rsid w:val="00D064F4"/>
    <w:rsid w:val="00D0791D"/>
    <w:rsid w:val="00D12753"/>
    <w:rsid w:val="00D133A0"/>
    <w:rsid w:val="00D14A04"/>
    <w:rsid w:val="00D14A83"/>
    <w:rsid w:val="00D16DB7"/>
    <w:rsid w:val="00D17DB8"/>
    <w:rsid w:val="00D2035F"/>
    <w:rsid w:val="00D212B0"/>
    <w:rsid w:val="00D26A15"/>
    <w:rsid w:val="00D33E80"/>
    <w:rsid w:val="00D376C4"/>
    <w:rsid w:val="00D42B89"/>
    <w:rsid w:val="00D43848"/>
    <w:rsid w:val="00D503E6"/>
    <w:rsid w:val="00D51098"/>
    <w:rsid w:val="00D51E00"/>
    <w:rsid w:val="00D5442F"/>
    <w:rsid w:val="00D5457C"/>
    <w:rsid w:val="00D57554"/>
    <w:rsid w:val="00D57D6B"/>
    <w:rsid w:val="00D624D9"/>
    <w:rsid w:val="00D63009"/>
    <w:rsid w:val="00D650C7"/>
    <w:rsid w:val="00D7392D"/>
    <w:rsid w:val="00D76AA5"/>
    <w:rsid w:val="00D7751D"/>
    <w:rsid w:val="00D77A10"/>
    <w:rsid w:val="00D807F5"/>
    <w:rsid w:val="00D85036"/>
    <w:rsid w:val="00D8590C"/>
    <w:rsid w:val="00D8619D"/>
    <w:rsid w:val="00D86971"/>
    <w:rsid w:val="00D90D89"/>
    <w:rsid w:val="00D92833"/>
    <w:rsid w:val="00D9718D"/>
    <w:rsid w:val="00D975C3"/>
    <w:rsid w:val="00DA3287"/>
    <w:rsid w:val="00DA33CF"/>
    <w:rsid w:val="00DA5154"/>
    <w:rsid w:val="00DA659C"/>
    <w:rsid w:val="00DA712E"/>
    <w:rsid w:val="00DB2FF2"/>
    <w:rsid w:val="00DB5925"/>
    <w:rsid w:val="00DB59B0"/>
    <w:rsid w:val="00DB5D9E"/>
    <w:rsid w:val="00DC01D1"/>
    <w:rsid w:val="00DC715E"/>
    <w:rsid w:val="00DD028E"/>
    <w:rsid w:val="00DD081E"/>
    <w:rsid w:val="00DD232F"/>
    <w:rsid w:val="00DD7AC7"/>
    <w:rsid w:val="00DE0669"/>
    <w:rsid w:val="00DE1A39"/>
    <w:rsid w:val="00DE61F9"/>
    <w:rsid w:val="00DE714F"/>
    <w:rsid w:val="00DE75A1"/>
    <w:rsid w:val="00DF3897"/>
    <w:rsid w:val="00DF3FBA"/>
    <w:rsid w:val="00DF4DAC"/>
    <w:rsid w:val="00E01EE7"/>
    <w:rsid w:val="00E0256C"/>
    <w:rsid w:val="00E02E15"/>
    <w:rsid w:val="00E0364E"/>
    <w:rsid w:val="00E03D64"/>
    <w:rsid w:val="00E062D0"/>
    <w:rsid w:val="00E10A6B"/>
    <w:rsid w:val="00E11B38"/>
    <w:rsid w:val="00E17E03"/>
    <w:rsid w:val="00E227E4"/>
    <w:rsid w:val="00E23772"/>
    <w:rsid w:val="00E2707C"/>
    <w:rsid w:val="00E31650"/>
    <w:rsid w:val="00E323A6"/>
    <w:rsid w:val="00E35069"/>
    <w:rsid w:val="00E404B7"/>
    <w:rsid w:val="00E43F3D"/>
    <w:rsid w:val="00E44CB6"/>
    <w:rsid w:val="00E502F4"/>
    <w:rsid w:val="00E519E7"/>
    <w:rsid w:val="00E530DF"/>
    <w:rsid w:val="00E56CF3"/>
    <w:rsid w:val="00E57E43"/>
    <w:rsid w:val="00E60F41"/>
    <w:rsid w:val="00E623B3"/>
    <w:rsid w:val="00E6343C"/>
    <w:rsid w:val="00E65A02"/>
    <w:rsid w:val="00E66441"/>
    <w:rsid w:val="00E7551C"/>
    <w:rsid w:val="00E758AB"/>
    <w:rsid w:val="00E77B95"/>
    <w:rsid w:val="00E80E25"/>
    <w:rsid w:val="00E83D4F"/>
    <w:rsid w:val="00E83F9F"/>
    <w:rsid w:val="00E95C6C"/>
    <w:rsid w:val="00EA2C44"/>
    <w:rsid w:val="00EA590C"/>
    <w:rsid w:val="00EA66E3"/>
    <w:rsid w:val="00EA7D57"/>
    <w:rsid w:val="00EB0F43"/>
    <w:rsid w:val="00EB1CAE"/>
    <w:rsid w:val="00EB3766"/>
    <w:rsid w:val="00EB4616"/>
    <w:rsid w:val="00EB4993"/>
    <w:rsid w:val="00EB5F52"/>
    <w:rsid w:val="00EB6697"/>
    <w:rsid w:val="00ED16A9"/>
    <w:rsid w:val="00ED38DF"/>
    <w:rsid w:val="00ED4E35"/>
    <w:rsid w:val="00EE18CD"/>
    <w:rsid w:val="00EE602D"/>
    <w:rsid w:val="00EE65D8"/>
    <w:rsid w:val="00EF1D66"/>
    <w:rsid w:val="00EF322B"/>
    <w:rsid w:val="00EF520C"/>
    <w:rsid w:val="00EF5833"/>
    <w:rsid w:val="00F073C4"/>
    <w:rsid w:val="00F12810"/>
    <w:rsid w:val="00F1585D"/>
    <w:rsid w:val="00F15B8D"/>
    <w:rsid w:val="00F16453"/>
    <w:rsid w:val="00F20008"/>
    <w:rsid w:val="00F34F9B"/>
    <w:rsid w:val="00F34FE1"/>
    <w:rsid w:val="00F367FF"/>
    <w:rsid w:val="00F36EED"/>
    <w:rsid w:val="00F3773C"/>
    <w:rsid w:val="00F508CA"/>
    <w:rsid w:val="00F50A36"/>
    <w:rsid w:val="00F55447"/>
    <w:rsid w:val="00F6046F"/>
    <w:rsid w:val="00F71CD3"/>
    <w:rsid w:val="00F74367"/>
    <w:rsid w:val="00F7708F"/>
    <w:rsid w:val="00F81363"/>
    <w:rsid w:val="00F819E5"/>
    <w:rsid w:val="00F837C8"/>
    <w:rsid w:val="00F867F9"/>
    <w:rsid w:val="00F904AE"/>
    <w:rsid w:val="00F91AD3"/>
    <w:rsid w:val="00F9566C"/>
    <w:rsid w:val="00F95DA6"/>
    <w:rsid w:val="00FA10ED"/>
    <w:rsid w:val="00FA3A94"/>
    <w:rsid w:val="00FA668D"/>
    <w:rsid w:val="00FB2779"/>
    <w:rsid w:val="00FB51FC"/>
    <w:rsid w:val="00FB572E"/>
    <w:rsid w:val="00FC183D"/>
    <w:rsid w:val="00FC4805"/>
    <w:rsid w:val="00FC5973"/>
    <w:rsid w:val="00FC780E"/>
    <w:rsid w:val="00FC7CE0"/>
    <w:rsid w:val="00FD0DDF"/>
    <w:rsid w:val="00FD0E36"/>
    <w:rsid w:val="00FD21CA"/>
    <w:rsid w:val="00FE38BA"/>
    <w:rsid w:val="00FE5BB0"/>
    <w:rsid w:val="00FE6EC2"/>
    <w:rsid w:val="00FE7CD8"/>
    <w:rsid w:val="00FF0529"/>
    <w:rsid w:val="00FF2546"/>
    <w:rsid w:val="00FF2A17"/>
    <w:rsid w:val="00FF3375"/>
    <w:rsid w:val="00FF53FF"/>
    <w:rsid w:val="00FF5406"/>
    <w:rsid w:val="00FF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1D6E"/>
  <w15:docId w15:val="{CB7A7893-E49A-4432-BC97-79960914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C29"/>
    <w:rPr>
      <w:lang w:val="en-GB"/>
    </w:rPr>
  </w:style>
  <w:style w:type="paragraph" w:styleId="Heading1">
    <w:name w:val="heading 1"/>
    <w:basedOn w:val="Normal"/>
    <w:next w:val="Normal"/>
    <w:link w:val="Heading1Char"/>
    <w:uiPriority w:val="9"/>
    <w:qFormat/>
    <w:rsid w:val="004A0868"/>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496166"/>
    <w:pPr>
      <w:keepNext/>
      <w:keepLines/>
      <w:spacing w:before="40" w:after="24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654C69"/>
    <w:pPr>
      <w:keepNext/>
      <w:keepLines/>
      <w:spacing w:before="360" w:after="200"/>
      <w:outlineLvl w:val="2"/>
    </w:pPr>
    <w:rPr>
      <w:rFonts w:ascii="Times New Roman" w:eastAsiaTheme="majorEastAsia" w:hAnsi="Times New Roman" w:cstheme="majorBidi"/>
      <w:i/>
      <w:sz w:val="24"/>
      <w:szCs w:val="24"/>
    </w:rPr>
  </w:style>
  <w:style w:type="paragraph" w:styleId="Heading4">
    <w:name w:val="heading 4"/>
    <w:basedOn w:val="Normal"/>
    <w:next w:val="Normal"/>
    <w:link w:val="Heading4Char"/>
    <w:uiPriority w:val="9"/>
    <w:unhideWhenUsed/>
    <w:qFormat/>
    <w:rsid w:val="00226EB2"/>
    <w:pPr>
      <w:keepNext/>
      <w:keepLines/>
      <w:spacing w:before="200" w:after="0" w:line="276" w:lineRule="auto"/>
      <w:outlineLvl w:val="3"/>
    </w:pPr>
    <w:rPr>
      <w:rFonts w:asciiTheme="majorHAnsi" w:eastAsiaTheme="majorEastAsia" w:hAnsiTheme="majorHAnsi" w:cstheme="majorBidi"/>
      <w:b/>
      <w:bCs/>
      <w:i/>
      <w:iCs/>
      <w:color w:val="5B9BD5" w:themeColor="accent1"/>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E1"/>
    <w:pPr>
      <w:ind w:left="720"/>
      <w:contextualSpacing/>
    </w:pPr>
  </w:style>
  <w:style w:type="paragraph" w:styleId="BalloonText">
    <w:name w:val="Balloon Text"/>
    <w:basedOn w:val="Normal"/>
    <w:link w:val="BalloonTextChar"/>
    <w:uiPriority w:val="99"/>
    <w:semiHidden/>
    <w:unhideWhenUsed/>
    <w:rsid w:val="00A90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5B"/>
    <w:rPr>
      <w:rFonts w:ascii="Tahoma" w:hAnsi="Tahoma" w:cs="Tahoma"/>
      <w:sz w:val="16"/>
      <w:szCs w:val="16"/>
    </w:rPr>
  </w:style>
  <w:style w:type="paragraph" w:styleId="Footer">
    <w:name w:val="footer"/>
    <w:basedOn w:val="Normal"/>
    <w:link w:val="FooterChar"/>
    <w:uiPriority w:val="99"/>
    <w:unhideWhenUsed/>
    <w:rsid w:val="006D5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01E"/>
    <w:rPr>
      <w:lang w:val="en-GB"/>
    </w:rPr>
  </w:style>
  <w:style w:type="paragraph" w:customStyle="1" w:styleId="Default">
    <w:name w:val="Default"/>
    <w:rsid w:val="006D501E"/>
    <w:pPr>
      <w:autoSpaceDE w:val="0"/>
      <w:autoSpaceDN w:val="0"/>
      <w:adjustRightInd w:val="0"/>
      <w:spacing w:after="0" w:line="240" w:lineRule="auto"/>
    </w:pPr>
    <w:rPr>
      <w:rFonts w:ascii="New Baskerville" w:hAnsi="New Baskerville" w:cs="New Baskerville"/>
      <w:color w:val="000000"/>
      <w:sz w:val="24"/>
      <w:szCs w:val="24"/>
      <w:lang w:val="en-GB"/>
    </w:rPr>
  </w:style>
  <w:style w:type="character" w:styleId="CommentReference">
    <w:name w:val="annotation reference"/>
    <w:basedOn w:val="DefaultParagraphFont"/>
    <w:uiPriority w:val="99"/>
    <w:semiHidden/>
    <w:unhideWhenUsed/>
    <w:rsid w:val="00FF600C"/>
    <w:rPr>
      <w:sz w:val="16"/>
      <w:szCs w:val="16"/>
    </w:rPr>
  </w:style>
  <w:style w:type="paragraph" w:styleId="CommentText">
    <w:name w:val="annotation text"/>
    <w:basedOn w:val="Normal"/>
    <w:link w:val="CommentTextChar"/>
    <w:uiPriority w:val="99"/>
    <w:semiHidden/>
    <w:unhideWhenUsed/>
    <w:rsid w:val="00FF600C"/>
    <w:pPr>
      <w:spacing w:line="240" w:lineRule="auto"/>
    </w:pPr>
    <w:rPr>
      <w:sz w:val="20"/>
      <w:szCs w:val="20"/>
    </w:rPr>
  </w:style>
  <w:style w:type="character" w:customStyle="1" w:styleId="CommentTextChar">
    <w:name w:val="Comment Text Char"/>
    <w:basedOn w:val="DefaultParagraphFont"/>
    <w:link w:val="CommentText"/>
    <w:uiPriority w:val="99"/>
    <w:semiHidden/>
    <w:rsid w:val="00FF600C"/>
    <w:rPr>
      <w:sz w:val="20"/>
      <w:szCs w:val="20"/>
      <w:lang w:val="en-GB"/>
    </w:rPr>
  </w:style>
  <w:style w:type="paragraph" w:styleId="CommentSubject">
    <w:name w:val="annotation subject"/>
    <w:basedOn w:val="CommentText"/>
    <w:next w:val="CommentText"/>
    <w:link w:val="CommentSubjectChar"/>
    <w:uiPriority w:val="99"/>
    <w:semiHidden/>
    <w:unhideWhenUsed/>
    <w:rsid w:val="00FF600C"/>
    <w:rPr>
      <w:b/>
      <w:bCs/>
    </w:rPr>
  </w:style>
  <w:style w:type="character" w:customStyle="1" w:styleId="CommentSubjectChar">
    <w:name w:val="Comment Subject Char"/>
    <w:basedOn w:val="CommentTextChar"/>
    <w:link w:val="CommentSubject"/>
    <w:uiPriority w:val="99"/>
    <w:semiHidden/>
    <w:rsid w:val="00FF600C"/>
    <w:rPr>
      <w:b/>
      <w:bCs/>
      <w:sz w:val="20"/>
      <w:szCs w:val="20"/>
      <w:lang w:val="en-GB"/>
    </w:rPr>
  </w:style>
  <w:style w:type="character" w:customStyle="1" w:styleId="Heading4Char">
    <w:name w:val="Heading 4 Char"/>
    <w:basedOn w:val="DefaultParagraphFont"/>
    <w:link w:val="Heading4"/>
    <w:uiPriority w:val="9"/>
    <w:rsid w:val="00226EB2"/>
    <w:rPr>
      <w:rFonts w:asciiTheme="majorHAnsi" w:eastAsiaTheme="majorEastAsia" w:hAnsiTheme="majorHAnsi" w:cstheme="majorBidi"/>
      <w:b/>
      <w:bCs/>
      <w:i/>
      <w:iCs/>
      <w:color w:val="5B9BD5" w:themeColor="accent1"/>
      <w:lang w:val="nb-NO"/>
    </w:rPr>
  </w:style>
  <w:style w:type="paragraph" w:styleId="FootnoteText">
    <w:name w:val="footnote text"/>
    <w:basedOn w:val="Normal"/>
    <w:link w:val="FootnoteTextChar"/>
    <w:uiPriority w:val="99"/>
    <w:semiHidden/>
    <w:unhideWhenUsed/>
    <w:rsid w:val="00226EB2"/>
    <w:pPr>
      <w:spacing w:after="0" w:line="240" w:lineRule="auto"/>
    </w:pPr>
    <w:rPr>
      <w:sz w:val="20"/>
      <w:szCs w:val="20"/>
      <w:lang w:val="nb-NO"/>
    </w:rPr>
  </w:style>
  <w:style w:type="character" w:customStyle="1" w:styleId="FootnoteTextChar">
    <w:name w:val="Footnote Text Char"/>
    <w:basedOn w:val="DefaultParagraphFont"/>
    <w:link w:val="FootnoteText"/>
    <w:uiPriority w:val="99"/>
    <w:semiHidden/>
    <w:rsid w:val="00226EB2"/>
    <w:rPr>
      <w:sz w:val="20"/>
      <w:szCs w:val="20"/>
      <w:lang w:val="nb-NO"/>
    </w:rPr>
  </w:style>
  <w:style w:type="character" w:styleId="FootnoteReference">
    <w:name w:val="footnote reference"/>
    <w:basedOn w:val="DefaultParagraphFont"/>
    <w:uiPriority w:val="99"/>
    <w:semiHidden/>
    <w:unhideWhenUsed/>
    <w:rsid w:val="00226EB2"/>
    <w:rPr>
      <w:vertAlign w:val="superscript"/>
    </w:rPr>
  </w:style>
  <w:style w:type="character" w:customStyle="1" w:styleId="Heading3Char">
    <w:name w:val="Heading 3 Char"/>
    <w:basedOn w:val="DefaultParagraphFont"/>
    <w:link w:val="Heading3"/>
    <w:uiPriority w:val="9"/>
    <w:rsid w:val="00654C69"/>
    <w:rPr>
      <w:rFonts w:ascii="Times New Roman" w:eastAsiaTheme="majorEastAsia" w:hAnsi="Times New Roman" w:cstheme="majorBidi"/>
      <w:i/>
      <w:sz w:val="24"/>
      <w:szCs w:val="24"/>
      <w:lang w:val="en-GB"/>
    </w:rPr>
  </w:style>
  <w:style w:type="paragraph" w:customStyle="1" w:styleId="EndNoteBibliographyTitle">
    <w:name w:val="EndNote Bibliography Title"/>
    <w:basedOn w:val="Normal"/>
    <w:link w:val="EndNoteBibliographyTitleTegn"/>
    <w:rsid w:val="008C5269"/>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8C5269"/>
    <w:rPr>
      <w:rFonts w:ascii="Calibri" w:hAnsi="Calibri"/>
      <w:noProof/>
      <w:lang w:val="en-US"/>
    </w:rPr>
  </w:style>
  <w:style w:type="paragraph" w:customStyle="1" w:styleId="EndNoteBibliography">
    <w:name w:val="EndNote Bibliography"/>
    <w:basedOn w:val="Normal"/>
    <w:link w:val="EndNoteBibliographyTegn"/>
    <w:rsid w:val="008C5269"/>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8C5269"/>
    <w:rPr>
      <w:rFonts w:ascii="Calibri" w:hAnsi="Calibri"/>
      <w:noProof/>
      <w:lang w:val="en-US"/>
    </w:rPr>
  </w:style>
  <w:style w:type="table" w:styleId="TableGrid">
    <w:name w:val="Table Grid"/>
    <w:basedOn w:val="TableNormal"/>
    <w:uiPriority w:val="39"/>
    <w:rsid w:val="00B841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6166"/>
    <w:rPr>
      <w:rFonts w:ascii="Times New Roman" w:eastAsiaTheme="majorEastAsia" w:hAnsi="Times New Roman" w:cstheme="majorBidi"/>
      <w:b/>
      <w:sz w:val="26"/>
      <w:szCs w:val="26"/>
      <w:lang w:val="en-GB"/>
    </w:rPr>
  </w:style>
  <w:style w:type="character" w:customStyle="1" w:styleId="Heading1Char">
    <w:name w:val="Heading 1 Char"/>
    <w:basedOn w:val="DefaultParagraphFont"/>
    <w:link w:val="Heading1"/>
    <w:uiPriority w:val="9"/>
    <w:rsid w:val="004A0868"/>
    <w:rPr>
      <w:rFonts w:ascii="Times New Roman" w:eastAsiaTheme="majorEastAsia" w:hAnsi="Times New Roman" w:cstheme="majorBidi"/>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9330-83CB-43C9-BDCA-DFD1DB82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9738</Words>
  <Characters>55513</Characters>
  <Application>Microsoft Office Word</Application>
  <DocSecurity>0</DocSecurity>
  <Lines>462</Lines>
  <Paragraphs>130</Paragraphs>
  <ScaleCrop>false</ScaleCrop>
  <HeadingPairs>
    <vt:vector size="6" baseType="variant">
      <vt:variant>
        <vt:lpstr>Title</vt:lpstr>
      </vt:variant>
      <vt:variant>
        <vt:i4>1</vt:i4>
      </vt:variant>
      <vt:variant>
        <vt:lpstr>Tittel</vt:lpstr>
      </vt:variant>
      <vt:variant>
        <vt:i4>1</vt:i4>
      </vt:variant>
      <vt:variant>
        <vt:lpstr>Título</vt:lpstr>
      </vt:variant>
      <vt:variant>
        <vt:i4>1</vt:i4>
      </vt:variant>
    </vt:vector>
  </HeadingPairs>
  <TitlesOfParts>
    <vt:vector size="3" baseType="lpstr">
      <vt:lpstr/>
      <vt:lpstr/>
      <vt:lpstr/>
    </vt:vector>
  </TitlesOfParts>
  <Company>Grizli777</Company>
  <LinksUpToDate>false</LinksUpToDate>
  <CharactersWithSpaces>65121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Coenen</dc:creator>
  <cp:lastModifiedBy>Pedro Miguel Marques</cp:lastModifiedBy>
  <cp:revision>3</cp:revision>
  <cp:lastPrinted>2016-09-02T08:59:00Z</cp:lastPrinted>
  <dcterms:created xsi:type="dcterms:W3CDTF">2017-05-29T13:11:00Z</dcterms:created>
  <dcterms:modified xsi:type="dcterms:W3CDTF">2017-07-07T10:18:00Z</dcterms:modified>
</cp:coreProperties>
</file>